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F15D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6628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7AFDC79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74DE550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FD1E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4F40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240E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6B9FC22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7C71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D34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615E1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2398C" w14:textId="5265D840" w:rsidR="00690E43" w:rsidRPr="00DA380C" w:rsidRDefault="00AB2DF4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DF4">
        <w:rPr>
          <w:rFonts w:ascii="Times New Roman" w:hAnsi="Times New Roman" w:cs="Times New Roman"/>
          <w:b/>
          <w:bCs/>
          <w:sz w:val="24"/>
          <w:szCs w:val="24"/>
        </w:rPr>
        <w:t>Könyvvizsgálói szolgáltatás ellátása</w:t>
      </w:r>
    </w:p>
    <w:p w14:paraId="0CB67D6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5FEE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0FB5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76F762D7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7C65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007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EB14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1623589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A7F5B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4B27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FEC2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37B59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FBD6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106F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5B5BC" w14:textId="6C4EEF58" w:rsidR="00690E43" w:rsidRPr="00DA380C" w:rsidRDefault="00AB2DF4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="00C27FD6">
        <w:rPr>
          <w:rFonts w:ascii="Times New Roman" w:hAnsi="Times New Roman" w:cs="Times New Roman"/>
          <w:b/>
          <w:sz w:val="24"/>
          <w:szCs w:val="24"/>
        </w:rPr>
        <w:t>március</w:t>
      </w:r>
    </w:p>
    <w:p w14:paraId="4589AC0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8CA34" w14:textId="77777777" w:rsidR="00690E43" w:rsidRPr="00DA380C" w:rsidRDefault="00690E43" w:rsidP="00690E43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799201EE" w14:textId="77777777" w:rsidR="00690E43" w:rsidRPr="00DA380C" w:rsidRDefault="00690E43" w:rsidP="00690E43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610DE1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335E6BD9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485C2817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127AE668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0FE5D46A" w14:textId="77777777" w:rsidR="00690E43" w:rsidRPr="000E6F8A" w:rsidRDefault="00690E43" w:rsidP="00690E43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8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F12958F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070091DA" w14:textId="77777777" w:rsidR="00690E43" w:rsidRPr="000E6F8A" w:rsidRDefault="00690E43" w:rsidP="00690E4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3BE81842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51F7816E" w14:textId="77777777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10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1F2D308E" w14:textId="77777777" w:rsidR="00690E43" w:rsidRPr="00DA380C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175E29B7" w14:textId="382D6C37" w:rsidR="00AB2DF4" w:rsidRDefault="00AB2DF4" w:rsidP="00AB2DF4">
      <w:pPr>
        <w:pStyle w:val="NormlWeb"/>
        <w:spacing w:before="120" w:beforeAutospacing="0" w:after="120" w:afterAutospacing="0" w:line="288" w:lineRule="auto"/>
        <w:jc w:val="both"/>
      </w:pPr>
      <w:bookmarkStart w:id="0" w:name="_Hlk129887292"/>
      <w:r>
        <w:t xml:space="preserve">Megbízási szerződés keretében a 100% önkormányzati tulajdonú Váci Városfejlesztő Kft. és a vele egységes szabályrendszer alapján működő vállalatok részére </w:t>
      </w:r>
      <w:r w:rsidR="00A575D3" w:rsidRPr="00A575D3">
        <w:t>a Polgári Törvénykönyvről</w:t>
      </w:r>
      <w:r>
        <w:t xml:space="preserve"> </w:t>
      </w:r>
      <w:r w:rsidR="00A575D3">
        <w:t>2013. évi V</w:t>
      </w:r>
      <w:r>
        <w:t xml:space="preserve">. törvény </w:t>
      </w:r>
      <w:r w:rsidR="00A575D3">
        <w:t xml:space="preserve">3_129. </w:t>
      </w:r>
      <w:r>
        <w:t>§-</w:t>
      </w:r>
      <w:proofErr w:type="spellStart"/>
      <w:r>
        <w:t>ában</w:t>
      </w:r>
      <w:proofErr w:type="spellEnd"/>
      <w:r>
        <w:t>, valamint a számvitelről szóló 2000. évi C. tőrvény 155. §-</w:t>
      </w:r>
      <w:proofErr w:type="spellStart"/>
      <w:r>
        <w:t>ában</w:t>
      </w:r>
      <w:proofErr w:type="spellEnd"/>
      <w:r>
        <w:t xml:space="preserve"> ismertetett könyvvizsgálói szolgáltatás megrendelése.</w:t>
      </w:r>
    </w:p>
    <w:p w14:paraId="127313F2" w14:textId="1E921B55" w:rsidR="00AB2DF4" w:rsidRDefault="00351D18" w:rsidP="00AB2DF4">
      <w:pPr>
        <w:pStyle w:val="NormlWeb"/>
        <w:spacing w:before="120" w:beforeAutospacing="0" w:after="120" w:afterAutospacing="0" w:line="288" w:lineRule="auto"/>
        <w:jc w:val="both"/>
      </w:pPr>
      <w:r>
        <w:t>Nyertes ajánlattevő</w:t>
      </w:r>
      <w:r w:rsidR="00AB2DF4">
        <w:t xml:space="preserve"> feladata a Váci Városfejlesztő Kft. részére a 202</w:t>
      </w:r>
      <w:r>
        <w:t>4</w:t>
      </w:r>
      <w:r w:rsidR="00AB2DF4">
        <w:t>-202</w:t>
      </w:r>
      <w:r>
        <w:t>6</w:t>
      </w:r>
      <w:r w:rsidR="00AB2DF4">
        <w:t>. üzleti évekre vonatkozó, számviteli törvény előírásaival összhangban elkészített éves beszámolók (jog szerinti) könyvvizsgálatával és arról könyvvizsgálói jelentés kibocsátásával, valamint a jogszabályban előírt, a társaság állandó könyvvizsgálója által elvégzendő feladatok ellátásával az alábbi társaságok részére:</w:t>
      </w:r>
    </w:p>
    <w:p w14:paraId="63D0E2CF" w14:textId="77777777" w:rsidR="00AB2DF4" w:rsidRDefault="00AB2DF4" w:rsidP="00AB2DF4">
      <w:pPr>
        <w:pStyle w:val="NormlWeb"/>
        <w:spacing w:before="120" w:beforeAutospacing="0" w:after="120" w:afterAutospacing="0" w:line="288" w:lineRule="auto"/>
        <w:jc w:val="both"/>
      </w:pPr>
      <w:r>
        <w:t>-</w:t>
      </w:r>
      <w:r>
        <w:tab/>
        <w:t>Váci Városfejlesztő Kft. (2600 Vác, Köztársaság út 34.)</w:t>
      </w:r>
    </w:p>
    <w:p w14:paraId="5F9A0C5E" w14:textId="77777777" w:rsidR="00AB2DF4" w:rsidRDefault="00AB2DF4" w:rsidP="00AB2DF4">
      <w:pPr>
        <w:pStyle w:val="NormlWeb"/>
        <w:spacing w:before="120" w:beforeAutospacing="0" w:after="120" w:afterAutospacing="0" w:line="288" w:lineRule="auto"/>
        <w:jc w:val="both"/>
      </w:pPr>
      <w:r>
        <w:t>-</w:t>
      </w:r>
      <w:r>
        <w:tab/>
        <w:t>Váci Városimázs Nonprofit Kft. (2600 Vác, Kossuth u. 1.)</w:t>
      </w:r>
    </w:p>
    <w:p w14:paraId="33D964F1" w14:textId="77777777" w:rsidR="00AB2DF4" w:rsidRDefault="00AB2DF4" w:rsidP="00AB2DF4">
      <w:pPr>
        <w:pStyle w:val="NormlWeb"/>
        <w:spacing w:before="120" w:beforeAutospacing="0" w:after="120" w:afterAutospacing="0" w:line="288" w:lineRule="auto"/>
        <w:jc w:val="both"/>
      </w:pPr>
      <w:r>
        <w:t>-</w:t>
      </w:r>
      <w:r>
        <w:tab/>
        <w:t>Váci Sport Közhasznú Nonprofit Kft. (2600 Vác, Bán Márton út 3.)</w:t>
      </w:r>
    </w:p>
    <w:p w14:paraId="36022F84" w14:textId="77777777" w:rsidR="00AB2DF4" w:rsidRDefault="00AB2DF4" w:rsidP="00AB2DF4">
      <w:pPr>
        <w:pStyle w:val="NormlWeb"/>
        <w:spacing w:before="120" w:beforeAutospacing="0" w:after="120" w:afterAutospacing="0" w:line="288" w:lineRule="auto"/>
        <w:jc w:val="both"/>
      </w:pPr>
      <w:r>
        <w:t>-</w:t>
      </w:r>
      <w:r>
        <w:tab/>
        <w:t>Váci Távhő Nonprofit Közhasznú Kft. (2600 Vác, Zrínyi u. 9.)</w:t>
      </w:r>
    </w:p>
    <w:p w14:paraId="6494B310" w14:textId="77777777" w:rsidR="00AB2DF4" w:rsidRDefault="00AB2DF4" w:rsidP="00AB2DF4">
      <w:pPr>
        <w:pStyle w:val="NormlWeb"/>
        <w:spacing w:before="120" w:beforeAutospacing="0" w:after="120" w:afterAutospacing="0" w:line="288" w:lineRule="auto"/>
        <w:jc w:val="both"/>
      </w:pPr>
      <w:r>
        <w:t>Könyvvizsgálói tevékenység ellátása, feladatai:</w:t>
      </w:r>
    </w:p>
    <w:p w14:paraId="01502214" w14:textId="77777777" w:rsidR="00AB2DF4" w:rsidRDefault="00AB2DF4" w:rsidP="00AB2DF4">
      <w:pPr>
        <w:pStyle w:val="NormlWeb"/>
        <w:spacing w:before="120" w:beforeAutospacing="0" w:after="120" w:afterAutospacing="0" w:line="288" w:lineRule="auto"/>
        <w:jc w:val="both"/>
      </w:pPr>
      <w:r>
        <w:t xml:space="preserve">A könyvvizsgáló feladata különösen az éves beszámoló, az egyszerűsített éves beszámoló valódiságának és szabályszerűségének felülvizsgálata, a hatályos jogszabályok és a létesítő okiratban foglaltak betartásának ellenőrzése, mely tevékenységét a törvényi előírások és a Magyar Könyvvizsgálói Kamara által kidolgozott standardok alapján végzi. </w:t>
      </w:r>
    </w:p>
    <w:p w14:paraId="7A37F762" w14:textId="77777777" w:rsidR="00AB2DF4" w:rsidRDefault="00AB2DF4" w:rsidP="00AB2DF4">
      <w:pPr>
        <w:pStyle w:val="NormlWeb"/>
        <w:spacing w:before="120" w:beforeAutospacing="0" w:after="120" w:afterAutospacing="0" w:line="288" w:lineRule="auto"/>
        <w:jc w:val="both"/>
      </w:pPr>
      <w:r>
        <w:t>A könyvvizsgáló kialakítja a beszámolóról az állásfoglalását tükröző véleményét, és elkészíti a független könyvvizsgálói jelentést.</w:t>
      </w:r>
    </w:p>
    <w:p w14:paraId="209CFCD5" w14:textId="77777777" w:rsidR="00AB2DF4" w:rsidRDefault="00AB2DF4" w:rsidP="00AB2DF4">
      <w:pPr>
        <w:pStyle w:val="NormlWeb"/>
        <w:spacing w:before="120" w:beforeAutospacing="0" w:after="120" w:afterAutospacing="0" w:line="288" w:lineRule="auto"/>
        <w:jc w:val="both"/>
      </w:pPr>
      <w:r>
        <w:lastRenderedPageBreak/>
        <w:t>Amennyiben a könyvvizsgáló feladatainak ellátása, vagy az ellenőrzés során a jogszabályi rendelkezések, a létesítő okirat megsértéséről, vagy olyan tényről, körülményről szerez tudomást, amely a vállalkozó helyzetét, jövőbeni kilátásait hátrányosan befolyásolja, erről haladéktalanul köteles az ügyvezetőt értesíteni, továbbá indokolt esetben jogosult, illetve köteles a legfőbb szerv összehívását kezdeményezni.</w:t>
      </w:r>
    </w:p>
    <w:p w14:paraId="1F8980B5" w14:textId="77777777" w:rsidR="00AB2DF4" w:rsidRDefault="00AB2DF4" w:rsidP="00AB2DF4">
      <w:pPr>
        <w:pStyle w:val="NormlWeb"/>
        <w:spacing w:before="120" w:beforeAutospacing="0" w:after="120" w:afterAutospacing="0" w:line="288" w:lineRule="auto"/>
        <w:jc w:val="both"/>
      </w:pPr>
      <w:r>
        <w:t>A könyvvizsgáló köteles a szerződés időtartama alatt összesen heti 8 óra együttműködési lehetőséget biztosítani a szokásos könyvvizsgálattal kapcsolatos kérdéseken túlmutató számviteli-adózási témakörökben, ajánlatkérői igény függvényében.</w:t>
      </w:r>
    </w:p>
    <w:p w14:paraId="7D0E3C13" w14:textId="715DBC67" w:rsidR="00BE5722" w:rsidRDefault="00AB2DF4" w:rsidP="00AB2DF4">
      <w:pPr>
        <w:pStyle w:val="NormlWeb"/>
        <w:spacing w:before="120" w:beforeAutospacing="0" w:after="120" w:afterAutospacing="0" w:line="288" w:lineRule="auto"/>
        <w:jc w:val="both"/>
      </w:pPr>
      <w:r>
        <w:t xml:space="preserve">Nyertes </w:t>
      </w:r>
      <w:r w:rsidR="00AB1D46">
        <w:t>ajánlattevő</w:t>
      </w:r>
      <w:r>
        <w:t xml:space="preserve"> köteles folyamatos könyvvizsgálói jelenlétet biztosítani annyiban, hogy legalább havonta tekintse át azokat a fontosabb ügyeket, melyekről ajánlatkérő előzetesen tájékoztatja, s tájékoztassa ajánlatkérőt azok tárgyában álláspontjáról, továbbá a könyvvizsgáló legalább negyedévente tekintse át a könyveket.</w:t>
      </w:r>
    </w:p>
    <w:p w14:paraId="18813C1B" w14:textId="3E71B282" w:rsidR="00AB1D46" w:rsidRDefault="00AB1D46" w:rsidP="00AB1D46">
      <w:pPr>
        <w:pStyle w:val="NormlWeb"/>
        <w:spacing w:before="120" w:beforeAutospacing="0" w:after="120" w:afterAutospacing="0" w:line="288" w:lineRule="auto"/>
        <w:jc w:val="both"/>
      </w:pPr>
      <w:r>
        <w:t xml:space="preserve">Annak a megítélése, hogy az Üzleti Jelentés a Számviteli törvény, illetve egyéb vonatkozó jogszabály előírásaival összhangban készült-e. </w:t>
      </w:r>
    </w:p>
    <w:p w14:paraId="60ABD404" w14:textId="67B71B39" w:rsidR="00C35C3D" w:rsidRDefault="00AB1D46" w:rsidP="00AB1D46">
      <w:pPr>
        <w:pStyle w:val="NormlWeb"/>
        <w:spacing w:before="120" w:beforeAutospacing="0" w:after="120" w:afterAutospacing="0" w:line="288" w:lineRule="auto"/>
        <w:jc w:val="both"/>
      </w:pPr>
      <w:r>
        <w:t>A könyvvizsgálat alapján a független könyvvizsgálói jelentés elkészítése.</w:t>
      </w:r>
    </w:p>
    <w:p w14:paraId="53CCA366" w14:textId="536113C2" w:rsidR="00AB1D46" w:rsidRPr="00AB1D46" w:rsidRDefault="00AB1D46" w:rsidP="00AB1D4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MyriadPro-Semibold" w:hAnsi="Times New Roman" w:cs="Times New Roman"/>
          <w:bCs/>
          <w:i/>
          <w:sz w:val="24"/>
          <w:szCs w:val="24"/>
          <w:lang w:eastAsia="hu-HU"/>
        </w:rPr>
      </w:pPr>
      <w:r w:rsidRPr="00AB1D46">
        <w:rPr>
          <w:rFonts w:ascii="Times New Roman" w:eastAsia="MyriadPro-Semibold" w:hAnsi="Times New Roman" w:cs="Times New Roman"/>
          <w:bCs/>
          <w:sz w:val="24"/>
          <w:szCs w:val="24"/>
          <w:lang w:eastAsia="hu-HU"/>
        </w:rPr>
        <w:t>A könyvvizsgálati munka keretében a Társaság vagyoni helyzetéről és üzletpolitikájáról készült mindazon jelentések, melyek a Társaság létesítő okiratában meghatározott gyakorisággal, de legalább évente egyszer a legfőbb szerv, háromhavonta a felügyelőbizottság részére készülnek, valamint a tulajdonosi joggyakorló elé terjesztett minden lényeges üzleti döntést igénylő dokumentum és záró beszámoló(k) ellenőrzése, véleményezése abból a szempontból, hogy az abban szereplő adatok a valós adatokat tartalmazzák-e, illetve megfelelnek-e a jogszabályi előírásoknak. E körben folyamatos együttműködés, kapcsolattartás, konzultáció és javaslattételi tevékenység biztosítása.</w:t>
      </w:r>
      <w:r w:rsidRPr="00AB1D46">
        <w:rPr>
          <w:rFonts w:ascii="Times New Roman" w:eastAsia="MyriadPro-Semibold" w:hAnsi="Times New Roman" w:cs="Times New Roman"/>
          <w:bCs/>
          <w:i/>
          <w:sz w:val="24"/>
          <w:szCs w:val="24"/>
          <w:lang w:eastAsia="hu-HU"/>
        </w:rPr>
        <w:t xml:space="preserve"> </w:t>
      </w:r>
    </w:p>
    <w:p w14:paraId="6CA56E46" w14:textId="77777777" w:rsidR="00AB1D46" w:rsidRPr="00AB1D46" w:rsidRDefault="00AB1D46" w:rsidP="00F95737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MyriadPro-Semibold" w:hAnsi="Times New Roman" w:cs="Times New Roman"/>
          <w:bCs/>
          <w:sz w:val="24"/>
          <w:szCs w:val="24"/>
          <w:lang w:eastAsia="hu-HU"/>
        </w:rPr>
      </w:pPr>
      <w:r w:rsidRPr="00AB1D46">
        <w:rPr>
          <w:rFonts w:ascii="Times New Roman" w:eastAsia="MyriadPro-Semibold" w:hAnsi="Times New Roman" w:cs="Times New Roman"/>
          <w:bCs/>
          <w:sz w:val="24"/>
          <w:szCs w:val="24"/>
          <w:lang w:eastAsia="hu-HU"/>
        </w:rPr>
        <w:t>Folyamatos együttműködés és folyamatos kapcsolattartás a Társasággal és együttműködés a Társaság felügyelőbizottságával, valamint igény esetén a Társaság felett tulajdonosi jogokat gyakorlóval.</w:t>
      </w:r>
    </w:p>
    <w:p w14:paraId="218454B0" w14:textId="77777777" w:rsidR="00AB1D46" w:rsidRPr="00AB1D46" w:rsidRDefault="00AB1D46" w:rsidP="00F95737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MyriadPro-Semibold" w:hAnsi="Times New Roman" w:cs="Times New Roman"/>
          <w:bCs/>
          <w:sz w:val="24"/>
          <w:szCs w:val="24"/>
          <w:lang w:eastAsia="hu-HU"/>
        </w:rPr>
      </w:pPr>
      <w:r w:rsidRPr="00AB1D46">
        <w:rPr>
          <w:rFonts w:ascii="Times New Roman" w:eastAsia="MyriadPro-Semibold" w:hAnsi="Times New Roman" w:cs="Times New Roman"/>
          <w:bCs/>
          <w:sz w:val="24"/>
          <w:szCs w:val="24"/>
          <w:lang w:eastAsia="hu-HU"/>
        </w:rPr>
        <w:t>A könyvvizsgálati feladatokhoz kapcsolódó szakmai tanácsadás.</w:t>
      </w:r>
    </w:p>
    <w:p w14:paraId="6CB1B515" w14:textId="77777777" w:rsidR="00AB1D46" w:rsidRPr="00AB1D46" w:rsidRDefault="00AB1D46" w:rsidP="00F95737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MyriadPro-Semibold" w:hAnsi="Times New Roman" w:cs="Times New Roman"/>
          <w:bCs/>
          <w:sz w:val="24"/>
          <w:szCs w:val="24"/>
          <w:lang w:eastAsia="hu-HU"/>
        </w:rPr>
      </w:pPr>
      <w:r w:rsidRPr="00AB1D46">
        <w:rPr>
          <w:rFonts w:ascii="Times New Roman" w:eastAsia="MyriadPro-Semibold" w:hAnsi="Times New Roman" w:cs="Times New Roman"/>
          <w:bCs/>
          <w:sz w:val="24"/>
          <w:szCs w:val="24"/>
          <w:lang w:eastAsia="hu-HU"/>
        </w:rPr>
        <w:t>Egyéb jogszabályokban, legfőbb szervi határozatban meghatározott feladatok, kiemelten:</w:t>
      </w:r>
    </w:p>
    <w:p w14:paraId="787CDBF7" w14:textId="77777777" w:rsidR="00AB1D46" w:rsidRPr="00AB1D46" w:rsidRDefault="00AB1D46" w:rsidP="00AB1D46">
      <w:pPr>
        <w:numPr>
          <w:ilvl w:val="1"/>
          <w:numId w:val="11"/>
        </w:numPr>
        <w:spacing w:before="120" w:after="120" w:line="288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gazdálkodását, pénzügyi helyzetét érintő könyvvizsgálói igazolások kibocsátása;</w:t>
      </w:r>
    </w:p>
    <w:p w14:paraId="690F7DF3" w14:textId="77777777" w:rsidR="00AB1D46" w:rsidRPr="00AB1D46" w:rsidRDefault="00AB1D46" w:rsidP="00AB1D46">
      <w:pPr>
        <w:numPr>
          <w:ilvl w:val="1"/>
          <w:numId w:val="11"/>
        </w:num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jogszabályi előírás alapján minden, a Társaság éves/egyszerűsített éves beszámolójához kapcsolódó, annak részeként elkészítendő dokumentum vagy melléklet összeállítása.</w:t>
      </w:r>
    </w:p>
    <w:p w14:paraId="125FD0C9" w14:textId="098BB147" w:rsidR="00AB1D46" w:rsidRPr="00AB1D46" w:rsidRDefault="00AB1D46" w:rsidP="00AB1D4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1D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Irányadó főbb jogszabályok</w:t>
      </w:r>
      <w:r w:rsidR="00F957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00D96C04" w14:textId="77777777" w:rsidR="00AB1D46" w:rsidRPr="00AB1D46" w:rsidRDefault="00AB1D46" w:rsidP="00F9573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köztulajdonban álló gazdasági társaságok takarékosabb működéséről szóló 2009. évi CXXII. törvény</w:t>
      </w:r>
    </w:p>
    <w:p w14:paraId="30118363" w14:textId="77777777" w:rsidR="00AB1D46" w:rsidRPr="00AB1D46" w:rsidRDefault="00AB1D46" w:rsidP="00F9573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Polgári Törvénykönyvről szóló 2013. évi V. törvény </w:t>
      </w:r>
    </w:p>
    <w:p w14:paraId="2AEA2DB5" w14:textId="77777777" w:rsidR="00AB1D46" w:rsidRPr="00AB1D46" w:rsidRDefault="00AB1D46" w:rsidP="00F9573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</w:t>
      </w: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számvitelről szóló 2000. évi C. törvény</w:t>
      </w:r>
    </w:p>
    <w:p w14:paraId="74E83555" w14:textId="77777777" w:rsidR="00AB1D46" w:rsidRPr="00AB1D46" w:rsidRDefault="00AB1D46" w:rsidP="00F9573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közbeszerzésekről szóló 2015. évi CXLIII. törvény</w:t>
      </w:r>
    </w:p>
    <w:p w14:paraId="0B52E565" w14:textId="77777777" w:rsidR="00AB1D46" w:rsidRPr="00AB1D46" w:rsidRDefault="00AB1D46" w:rsidP="00F9573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Magyar Könyvvizsgálói Kamaráról, a könyvvizsgálói tevékenységről, valamint a könyvvizsgálói közfelügyeletről szóló 2007. évi LXXV. törvény</w:t>
      </w:r>
    </w:p>
    <w:p w14:paraId="063717F4" w14:textId="77777777" w:rsidR="00AB1D46" w:rsidRPr="00AB1D46" w:rsidRDefault="00AB1D46" w:rsidP="00F9573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Egyes jogi személyek átalakulásáról, egyesüléséről és szétválásáról szóló 2013. évi CLXXVI. törvény</w:t>
      </w:r>
    </w:p>
    <w:p w14:paraId="7FE1EF03" w14:textId="32F0DFB8" w:rsidR="00AB1D46" w:rsidRPr="00F95737" w:rsidRDefault="00AB1D46" w:rsidP="00F9573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AB1D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állami vagyonnal való gazdálkodásról szóló 254/2007. (X. 4.) Korm. rendelet</w:t>
      </w:r>
    </w:p>
    <w:bookmarkEnd w:id="0"/>
    <w:p w14:paraId="563BEB74" w14:textId="77777777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53C494FC" w14:textId="2CB40B31" w:rsidR="00D437C5" w:rsidRDefault="00F95737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Megbízási szerződés</w:t>
      </w:r>
    </w:p>
    <w:p w14:paraId="37946B34" w14:textId="409766CF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 w:rsidR="00E518F6"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3570A9FB" w14:textId="535CD327" w:rsidR="00065808" w:rsidRPr="00065808" w:rsidRDefault="00065808" w:rsidP="0006580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 időtartama: a 202</w:t>
      </w:r>
      <w:r w:rsidR="008D09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8D09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üzleti év, a 202</w:t>
      </w:r>
      <w:r w:rsidR="008D09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8D09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üzleti év és a 202</w:t>
      </w:r>
      <w:r w:rsidR="008D09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8D09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üzleti év vizsgálata.</w:t>
      </w:r>
    </w:p>
    <w:p w14:paraId="3B17A421" w14:textId="4F0E7BBC" w:rsidR="00065808" w:rsidRDefault="00065808" w:rsidP="0006580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megbízási szerződés az aláírás napjával lép hatályba és a Könyvvizsgáló megválasztásának megfelelően határozott időtartamig, a Társaság 202</w:t>
      </w:r>
      <w:r w:rsidR="008D09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év december hó 31. napjával végződő üzleti évre vonatkozó éves beszámoló elfogadásának időpontjáig, de legkésőbb 202</w:t>
      </w:r>
      <w:r w:rsidR="008D09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</w:t>
      </w:r>
      <w:r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év május hó 31. napjáig tart.</w:t>
      </w:r>
    </w:p>
    <w:p w14:paraId="53E173B2" w14:textId="0CF200DC" w:rsidR="00675741" w:rsidRPr="00065808" w:rsidRDefault="00C35C3D" w:rsidP="0006580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2600 Vác, </w:t>
      </w:r>
      <w:r w:rsidR="00F95737"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Köztársaság út 34</w:t>
      </w:r>
      <w:r w:rsidR="00A10ADA" w:rsidRPr="000658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7A2C9A2" w14:textId="77777777" w:rsidR="00907758" w:rsidRPr="00055962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3B1E422A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12DD17E8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46EAE02B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7C7890FF" w14:textId="0F95AC1D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</w:t>
      </w:r>
      <w:r w:rsidR="00A10ADA" w:rsidRPr="00A10ADA">
        <w:rPr>
          <w:rFonts w:ascii="Times New Roman" w:hAnsi="Times New Roman" w:cs="Times New Roman"/>
          <w:sz w:val="24"/>
        </w:rPr>
        <w:t xml:space="preserve">Nyertes ajánlattevő </w:t>
      </w:r>
      <w:r w:rsidR="00C71064">
        <w:rPr>
          <w:rFonts w:ascii="Times New Roman" w:hAnsi="Times New Roman" w:cs="Times New Roman"/>
          <w:sz w:val="24"/>
          <w:szCs w:val="24"/>
        </w:rPr>
        <w:t>megrendelésenként</w:t>
      </w:r>
      <w:r w:rsidR="00FB2521" w:rsidRPr="00A10ADA">
        <w:rPr>
          <w:rFonts w:ascii="Times New Roman" w:hAnsi="Times New Roman" w:cs="Times New Roman"/>
          <w:sz w:val="24"/>
        </w:rPr>
        <w:t xml:space="preserve"> </w:t>
      </w:r>
      <w:r w:rsidR="00A10ADA" w:rsidRPr="00A10ADA">
        <w:rPr>
          <w:rFonts w:ascii="Times New Roman" w:hAnsi="Times New Roman" w:cs="Times New Roman"/>
          <w:sz w:val="24"/>
        </w:rPr>
        <w:t>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0A4B98D8" w14:textId="5ABA5E9D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az ellenszolgáltatás összegét, a teljesítésigazo</w:t>
      </w:r>
      <w:r w:rsidR="00F35BC5">
        <w:rPr>
          <w:rFonts w:ascii="Times New Roman" w:hAnsi="Times New Roman" w:cs="Times New Roman"/>
          <w:sz w:val="24"/>
        </w:rPr>
        <w:t>l</w:t>
      </w:r>
      <w:r w:rsidRPr="00055962">
        <w:rPr>
          <w:rFonts w:ascii="Times New Roman" w:hAnsi="Times New Roman" w:cs="Times New Roman"/>
          <w:sz w:val="24"/>
        </w:rPr>
        <w:t xml:space="preserve">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11333E8F" w14:textId="77777777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5F3AE3E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20706681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13191E96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45B70B0D" w14:textId="77777777" w:rsidR="00907758" w:rsidRPr="00055962" w:rsidRDefault="00907758" w:rsidP="00907758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1A2FD228" w14:textId="38536C4B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68489DC0" w14:textId="77777777" w:rsidR="00907758" w:rsidRPr="00FD2C17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44D8C85C" w14:textId="77777777" w:rsid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36E448C" w14:textId="2FCE8AF3" w:rsidR="00907758" w:rsidRP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A szerződést biztosító mellékkötelezettségek részletes szabályait a szerződéstervezet tartalmazza.</w:t>
      </w:r>
    </w:p>
    <w:p w14:paraId="18770251" w14:textId="77777777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0A50F" w14:textId="4FB64E57" w:rsidR="00907758" w:rsidRPr="00D860EE" w:rsidRDefault="00D860EE" w:rsidP="00907758">
      <w:pPr>
        <w:pStyle w:val="NormlWeb"/>
        <w:spacing w:before="0" w:beforeAutospacing="0" w:after="120" w:afterAutospacing="0" w:line="288" w:lineRule="auto"/>
        <w:ind w:right="150"/>
        <w:jc w:val="both"/>
        <w:rPr>
          <w:bCs/>
        </w:rPr>
      </w:pPr>
      <w:r w:rsidRPr="00D860EE">
        <w:rPr>
          <w:bCs/>
          <w:color w:val="000000"/>
        </w:rPr>
        <w:t xml:space="preserve">A </w:t>
      </w:r>
      <w:r w:rsidR="005A7CF8">
        <w:rPr>
          <w:bCs/>
          <w:color w:val="000000"/>
        </w:rPr>
        <w:t xml:space="preserve">legalacsonyabb ár </w:t>
      </w:r>
      <w:r w:rsidR="005A7CF8" w:rsidRPr="001913CF">
        <w:rPr>
          <w:b/>
          <w:bCs/>
        </w:rPr>
        <w:t xml:space="preserve">Nettó havi </w:t>
      </w:r>
      <w:r w:rsidR="005A7CF8">
        <w:rPr>
          <w:b/>
          <w:bCs/>
        </w:rPr>
        <w:t>megbízási</w:t>
      </w:r>
      <w:r w:rsidR="005A7CF8" w:rsidRPr="001913CF">
        <w:rPr>
          <w:b/>
          <w:bCs/>
        </w:rPr>
        <w:t xml:space="preserve"> díj (Ft/hó)</w:t>
      </w:r>
      <w:r w:rsidRPr="00D860EE">
        <w:rPr>
          <w:bCs/>
          <w:color w:val="00000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51"/>
        <w:gridCol w:w="2916"/>
        <w:gridCol w:w="2395"/>
      </w:tblGrid>
      <w:tr w:rsidR="00904C00" w14:paraId="2E0A74CD" w14:textId="7DA64402" w:rsidTr="00904C00">
        <w:tc>
          <w:tcPr>
            <w:tcW w:w="3751" w:type="dxa"/>
            <w:shd w:val="clear" w:color="auto" w:fill="92D050"/>
            <w:vAlign w:val="center"/>
          </w:tcPr>
          <w:p w14:paraId="1FCA7EC3" w14:textId="517A47F1" w:rsidR="00904C00" w:rsidRP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904C00">
              <w:rPr>
                <w:b/>
                <w:bCs/>
              </w:rPr>
              <w:t>Tagvállalat neve</w:t>
            </w:r>
          </w:p>
        </w:tc>
        <w:tc>
          <w:tcPr>
            <w:tcW w:w="2916" w:type="dxa"/>
            <w:shd w:val="clear" w:color="auto" w:fill="92D050"/>
            <w:vAlign w:val="center"/>
          </w:tcPr>
          <w:p w14:paraId="366DD17D" w14:textId="05DD6D4B" w:rsidR="00904C00" w:rsidRDefault="00904C00" w:rsidP="00904C00">
            <w:pPr>
              <w:pStyle w:val="NormlWeb"/>
              <w:spacing w:after="120" w:line="288" w:lineRule="auto"/>
              <w:ind w:right="150"/>
              <w:jc w:val="center"/>
            </w:pPr>
            <w:r>
              <w:rPr>
                <w:b/>
                <w:color w:val="000000"/>
              </w:rPr>
              <w:t>Értékelési részszempont</w:t>
            </w:r>
          </w:p>
        </w:tc>
        <w:tc>
          <w:tcPr>
            <w:tcW w:w="2395" w:type="dxa"/>
            <w:shd w:val="clear" w:color="auto" w:fill="92D050"/>
            <w:vAlign w:val="center"/>
          </w:tcPr>
          <w:p w14:paraId="6E8BF52A" w14:textId="416DEE37" w:rsidR="00904C00" w:rsidRPr="00904C00" w:rsidRDefault="00904C00" w:rsidP="00904C00">
            <w:pPr>
              <w:pStyle w:val="NormlWeb"/>
              <w:spacing w:after="120" w:line="288" w:lineRule="auto"/>
              <w:ind w:right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Súlyszám</w:t>
            </w:r>
          </w:p>
        </w:tc>
      </w:tr>
      <w:tr w:rsidR="00904C00" w14:paraId="05BE5583" w14:textId="0A493097" w:rsidTr="00904C00">
        <w:tc>
          <w:tcPr>
            <w:tcW w:w="3751" w:type="dxa"/>
            <w:vAlign w:val="center"/>
          </w:tcPr>
          <w:p w14:paraId="622FAA19" w14:textId="5B0AFABB" w:rsidR="00904C00" w:rsidRP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904C00">
              <w:rPr>
                <w:b/>
                <w:bCs/>
                <w:color w:val="000000"/>
              </w:rPr>
              <w:t>Váci Városfejlesztő Kft.</w:t>
            </w:r>
          </w:p>
        </w:tc>
        <w:tc>
          <w:tcPr>
            <w:tcW w:w="2916" w:type="dxa"/>
            <w:vAlign w:val="center"/>
          </w:tcPr>
          <w:p w14:paraId="599D61D0" w14:textId="01960968" w:rsid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</w:pPr>
            <w:r w:rsidRPr="00904C00">
              <w:rPr>
                <w:b/>
                <w:color w:val="000000"/>
              </w:rPr>
              <w:t xml:space="preserve">Nettó </w:t>
            </w:r>
            <w:proofErr w:type="spellStart"/>
            <w:r w:rsidRPr="00904C00">
              <w:rPr>
                <w:b/>
                <w:color w:val="000000"/>
              </w:rPr>
              <w:t>Ft+Áfa</w:t>
            </w:r>
            <w:proofErr w:type="spellEnd"/>
            <w:r w:rsidRPr="00904C00">
              <w:rPr>
                <w:b/>
                <w:color w:val="000000"/>
              </w:rPr>
              <w:t xml:space="preserve"> / hó</w:t>
            </w:r>
          </w:p>
        </w:tc>
        <w:tc>
          <w:tcPr>
            <w:tcW w:w="2395" w:type="dxa"/>
            <w:vAlign w:val="center"/>
          </w:tcPr>
          <w:p w14:paraId="34D9CCB9" w14:textId="147147C7" w:rsid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</w:pPr>
            <w:r>
              <w:t>25</w:t>
            </w:r>
          </w:p>
        </w:tc>
      </w:tr>
      <w:tr w:rsidR="00904C00" w14:paraId="6EADE351" w14:textId="228FB412" w:rsidTr="00904C00">
        <w:tc>
          <w:tcPr>
            <w:tcW w:w="3751" w:type="dxa"/>
            <w:vAlign w:val="center"/>
          </w:tcPr>
          <w:p w14:paraId="71E33A1C" w14:textId="27957BDC" w:rsidR="00904C00" w:rsidRP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904C00">
              <w:rPr>
                <w:b/>
                <w:bCs/>
                <w:color w:val="000000"/>
              </w:rPr>
              <w:t>Váci Városimázs Nonprofit Kft.</w:t>
            </w:r>
          </w:p>
        </w:tc>
        <w:tc>
          <w:tcPr>
            <w:tcW w:w="2916" w:type="dxa"/>
            <w:vAlign w:val="center"/>
          </w:tcPr>
          <w:p w14:paraId="353934DD" w14:textId="604F3B0A" w:rsid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</w:pPr>
            <w:r w:rsidRPr="00904C00">
              <w:rPr>
                <w:b/>
                <w:color w:val="000000"/>
              </w:rPr>
              <w:t xml:space="preserve">Nettó </w:t>
            </w:r>
            <w:proofErr w:type="spellStart"/>
            <w:r w:rsidRPr="00904C00">
              <w:rPr>
                <w:b/>
                <w:color w:val="000000"/>
              </w:rPr>
              <w:t>Ft+Áfa</w:t>
            </w:r>
            <w:proofErr w:type="spellEnd"/>
            <w:r w:rsidRPr="00904C00">
              <w:rPr>
                <w:b/>
                <w:color w:val="000000"/>
              </w:rPr>
              <w:t xml:space="preserve"> / hó</w:t>
            </w:r>
          </w:p>
        </w:tc>
        <w:tc>
          <w:tcPr>
            <w:tcW w:w="2395" w:type="dxa"/>
            <w:vAlign w:val="center"/>
          </w:tcPr>
          <w:p w14:paraId="7DFBC85D" w14:textId="6F4397EB" w:rsid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</w:pPr>
            <w:r>
              <w:t>25</w:t>
            </w:r>
          </w:p>
        </w:tc>
      </w:tr>
      <w:tr w:rsidR="00904C00" w14:paraId="7E8F5B6E" w14:textId="3F428FF8" w:rsidTr="00904C00">
        <w:tc>
          <w:tcPr>
            <w:tcW w:w="3751" w:type="dxa"/>
            <w:vAlign w:val="center"/>
          </w:tcPr>
          <w:p w14:paraId="1FF67CE2" w14:textId="7B861B94" w:rsidR="00904C00" w:rsidRP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904C00">
              <w:rPr>
                <w:b/>
                <w:bCs/>
                <w:color w:val="000000"/>
              </w:rPr>
              <w:t>Váci Sport Közhasznú Nonprofit Kft.</w:t>
            </w:r>
          </w:p>
        </w:tc>
        <w:tc>
          <w:tcPr>
            <w:tcW w:w="2916" w:type="dxa"/>
            <w:vAlign w:val="center"/>
          </w:tcPr>
          <w:p w14:paraId="4E21B7A7" w14:textId="32BCD6B7" w:rsid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</w:pPr>
            <w:r w:rsidRPr="00904C00">
              <w:rPr>
                <w:b/>
                <w:color w:val="000000"/>
              </w:rPr>
              <w:t xml:space="preserve">Nettó </w:t>
            </w:r>
            <w:proofErr w:type="spellStart"/>
            <w:r w:rsidRPr="00904C00">
              <w:rPr>
                <w:b/>
                <w:color w:val="000000"/>
              </w:rPr>
              <w:t>Ft+Áfa</w:t>
            </w:r>
            <w:proofErr w:type="spellEnd"/>
            <w:r w:rsidRPr="00904C00">
              <w:rPr>
                <w:b/>
                <w:color w:val="000000"/>
              </w:rPr>
              <w:t xml:space="preserve"> / hó</w:t>
            </w:r>
          </w:p>
        </w:tc>
        <w:tc>
          <w:tcPr>
            <w:tcW w:w="2395" w:type="dxa"/>
            <w:vAlign w:val="center"/>
          </w:tcPr>
          <w:p w14:paraId="779A046B" w14:textId="0E7A4D4B" w:rsid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</w:pPr>
            <w:r>
              <w:t>25</w:t>
            </w:r>
          </w:p>
        </w:tc>
      </w:tr>
      <w:tr w:rsidR="00904C00" w14:paraId="4F5424CE" w14:textId="6AA86937" w:rsidTr="00904C00">
        <w:tc>
          <w:tcPr>
            <w:tcW w:w="3751" w:type="dxa"/>
            <w:vAlign w:val="center"/>
          </w:tcPr>
          <w:p w14:paraId="5CB37C07" w14:textId="5EB99E2E" w:rsidR="00904C00" w:rsidRP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904C00">
              <w:rPr>
                <w:b/>
                <w:bCs/>
                <w:color w:val="000000"/>
              </w:rPr>
              <w:t>Váci Távhő Nonprofit Közhasznú Kft.</w:t>
            </w:r>
          </w:p>
        </w:tc>
        <w:tc>
          <w:tcPr>
            <w:tcW w:w="2916" w:type="dxa"/>
            <w:vAlign w:val="center"/>
          </w:tcPr>
          <w:p w14:paraId="6CA9F620" w14:textId="5CD695AB" w:rsid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</w:pPr>
            <w:r w:rsidRPr="00904C00">
              <w:rPr>
                <w:b/>
                <w:color w:val="000000"/>
              </w:rPr>
              <w:t xml:space="preserve">Nettó </w:t>
            </w:r>
            <w:proofErr w:type="spellStart"/>
            <w:r w:rsidRPr="00904C00">
              <w:rPr>
                <w:b/>
                <w:color w:val="000000"/>
              </w:rPr>
              <w:t>Ft+Áfa</w:t>
            </w:r>
            <w:proofErr w:type="spellEnd"/>
            <w:r w:rsidRPr="00904C00">
              <w:rPr>
                <w:b/>
                <w:color w:val="000000"/>
              </w:rPr>
              <w:t xml:space="preserve"> / hó</w:t>
            </w:r>
          </w:p>
        </w:tc>
        <w:tc>
          <w:tcPr>
            <w:tcW w:w="2395" w:type="dxa"/>
            <w:vAlign w:val="center"/>
          </w:tcPr>
          <w:p w14:paraId="59D955FF" w14:textId="1F14B074" w:rsidR="00904C00" w:rsidRDefault="00904C00" w:rsidP="00904C0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</w:pPr>
            <w:r>
              <w:t>25</w:t>
            </w:r>
          </w:p>
        </w:tc>
      </w:tr>
    </w:tbl>
    <w:p w14:paraId="327BB7EA" w14:textId="77777777" w:rsidR="00D860EE" w:rsidRPr="00366C22" w:rsidRDefault="00D860EE" w:rsidP="00D860EE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366C22">
        <w:t>Kiosztható pontok száma: 0-10.</w:t>
      </w:r>
    </w:p>
    <w:p w14:paraId="4F4B4900" w14:textId="77777777" w:rsidR="00D860EE" w:rsidRPr="00366C22" w:rsidRDefault="00D860EE" w:rsidP="00D860EE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366C22">
        <w:t>Ajánlattevő az ajánlattételi határidő lejártától kezdve kötve van ajánlatához.</w:t>
      </w:r>
    </w:p>
    <w:p w14:paraId="2D082BBE" w14:textId="77777777" w:rsidR="00772566" w:rsidRPr="000B250A" w:rsidRDefault="00772566" w:rsidP="00772566">
      <w:pPr>
        <w:spacing w:after="120" w:line="288" w:lineRule="auto"/>
        <w:jc w:val="both"/>
        <w:rPr>
          <w:rFonts w:ascii="Times New Roman" w:eastAsia="Times" w:hAnsi="Times New Roman" w:cs="Times New Roman"/>
          <w:sz w:val="24"/>
          <w:szCs w:val="20"/>
          <w:lang w:eastAsia="hu-HU"/>
        </w:rPr>
      </w:pP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A legalacsonyabb ár értékelési szemponton belül Ajánlatkérő a megajánlott ellenszolgáltatásokat veti össze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,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 és a legalacsonyabb árat tartalmazó érvényes ajánlatot választja ki. Az eljárás nyertese az az ajánlattevő, aki az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jánlatkérő részére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 Dokumentáció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ban meghatározott feltételek alapján, valamint az értékelési szempontok szerint a legkedvezőbb érvényes ajánlatot tette.</w:t>
      </w:r>
    </w:p>
    <w:p w14:paraId="2D82E354" w14:textId="77777777" w:rsidR="00772566" w:rsidRPr="000B250A" w:rsidRDefault="00772566" w:rsidP="0077256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üzemanyagköltség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1157D60D" w14:textId="77777777" w:rsidR="00772566" w:rsidRPr="000B250A" w:rsidRDefault="00772566" w:rsidP="0077256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71BB5D9A" w14:textId="77777777" w:rsidR="00772566" w:rsidRPr="000B250A" w:rsidRDefault="00772566" w:rsidP="0077256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3C02D595" w14:textId="77777777" w:rsidR="00772566" w:rsidRPr="000B250A" w:rsidRDefault="00772566" w:rsidP="0077256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53C879B0" w14:textId="77777777" w:rsidR="00772566" w:rsidRDefault="00772566" w:rsidP="0077256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243A7959" w14:textId="77777777" w:rsidR="00D860EE" w:rsidRPr="00366C22" w:rsidRDefault="00D860EE" w:rsidP="00D860E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6C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A felolvasó lapon a valamennyi megajánlást </w:t>
      </w:r>
      <w:r w:rsidRPr="00366C22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pozitív egész számban kell megadniuk az</w:t>
      </w:r>
      <w:r w:rsidRPr="00366C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ajánlattevőknek, valamint valamennyi sort be kell árazniuk. Amennyiben ajánlattevő nem áraz be valamennyi sort, abban az esetben a benyújtott ajánlatát Ajánlatkérő érvénytelennek nyilvánítja.</w:t>
      </w:r>
    </w:p>
    <w:p w14:paraId="7CB8F223" w14:textId="77777777" w:rsidR="00D860EE" w:rsidRPr="00366C22" w:rsidRDefault="00D860EE" w:rsidP="00D860EE">
      <w:pPr>
        <w:spacing w:after="120" w:line="288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66C22">
        <w:rPr>
          <w:rFonts w:ascii="Times New Roman" w:hAnsi="Times New Roman" w:cs="Times New Roman"/>
          <w:b/>
          <w:sz w:val="24"/>
          <w:szCs w:val="24"/>
          <w:u w:val="single"/>
        </w:rPr>
        <w:t>Az értékelés módszere:</w:t>
      </w:r>
    </w:p>
    <w:p w14:paraId="5E2E1356" w14:textId="77777777" w:rsidR="00D860EE" w:rsidRPr="00366C22" w:rsidRDefault="00D860EE" w:rsidP="00D860E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22">
        <w:rPr>
          <w:rFonts w:ascii="Times New Roman" w:hAnsi="Times New Roman" w:cs="Times New Roman"/>
          <w:sz w:val="24"/>
          <w:szCs w:val="24"/>
        </w:rPr>
        <w:t xml:space="preserve">Ajánlatkérő a legjobb ajánlatot tartalmazó ajánlatra 10 pontot ad, a többi ajánlatra arányosan kevesebbet. A pontszámok kiszámítása során alkalmazandó képlet a </w:t>
      </w:r>
      <w:r w:rsidRPr="00366C22">
        <w:rPr>
          <w:rFonts w:ascii="Times New Roman" w:hAnsi="Times New Roman" w:cs="Times New Roman"/>
          <w:b/>
          <w:sz w:val="24"/>
          <w:szCs w:val="24"/>
        </w:rPr>
        <w:t>fordított arányosítás módszere</w:t>
      </w:r>
      <w:r w:rsidRPr="00366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8B65E" w14:textId="77777777" w:rsidR="00D860EE" w:rsidRPr="00366C22" w:rsidRDefault="00D860EE" w:rsidP="00D860EE">
      <w:pPr>
        <w:rPr>
          <w:rFonts w:ascii="Times New Roman" w:hAnsi="Times New Roman" w:cs="Times New Roman"/>
          <w:sz w:val="24"/>
          <w:szCs w:val="24"/>
        </w:rPr>
      </w:pPr>
      <w:r w:rsidRPr="00366C22">
        <w:rPr>
          <w:rFonts w:ascii="Times New Roman" w:hAnsi="Times New Roman" w:cs="Times New Roman"/>
          <w:sz w:val="24"/>
          <w:szCs w:val="24"/>
        </w:rPr>
        <w:t>Az értékelés módszere képlettel leírva:</w:t>
      </w:r>
    </w:p>
    <w:p w14:paraId="6B68EBBE" w14:textId="77777777" w:rsidR="00D860EE" w:rsidRPr="00366C22" w:rsidRDefault="00D860EE" w:rsidP="00D860EE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P = (A legjobb / A vizsgált) × (P </w:t>
      </w:r>
      <w:proofErr w:type="spellStart"/>
      <w:r w:rsidRPr="00366C22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>max</w:t>
      </w:r>
      <w:proofErr w:type="spellEnd"/>
      <w:r w:rsidRPr="00366C22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 - P min) + P min</w:t>
      </w:r>
    </w:p>
    <w:p w14:paraId="3328CFAF" w14:textId="77777777" w:rsidR="00D860EE" w:rsidRPr="00366C22" w:rsidRDefault="00D860EE" w:rsidP="00D860EE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ahol:</w:t>
      </w:r>
    </w:p>
    <w:p w14:paraId="3FB44990" w14:textId="77777777" w:rsidR="00D860EE" w:rsidRPr="00366C22" w:rsidRDefault="00D860EE" w:rsidP="00D860EE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P:</w:t>
      </w: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vizsgált ajánlati elem adott szempontra vonatkozó pontszáma</w:t>
      </w:r>
    </w:p>
    <w:p w14:paraId="0276DCC1" w14:textId="77777777" w:rsidR="00D860EE" w:rsidRPr="00366C22" w:rsidRDefault="00D860EE" w:rsidP="00D860EE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 xml:space="preserve">P </w:t>
      </w:r>
      <w:proofErr w:type="spellStart"/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max</w:t>
      </w:r>
      <w:proofErr w:type="spellEnd"/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:</w:t>
      </w: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felső határa, azaz 10</w:t>
      </w:r>
    </w:p>
    <w:p w14:paraId="24FF7783" w14:textId="77777777" w:rsidR="00D860EE" w:rsidRPr="00366C22" w:rsidRDefault="00D860EE" w:rsidP="00D860EE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P min:</w:t>
      </w: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alsó határa, azaz 0</w:t>
      </w:r>
    </w:p>
    <w:p w14:paraId="77989430" w14:textId="77777777" w:rsidR="00D860EE" w:rsidRPr="00366C22" w:rsidRDefault="00D860EE" w:rsidP="00D860EE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A legjobb: a legelőnyösebb ajánlat tartalmi eleme</w:t>
      </w:r>
    </w:p>
    <w:p w14:paraId="3379DDBD" w14:textId="77777777" w:rsidR="00D860EE" w:rsidRPr="00366C22" w:rsidRDefault="00D860EE" w:rsidP="00D860EE">
      <w:pPr>
        <w:suppressAutoHyphens/>
        <w:spacing w:after="12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A vizsgált: a vizsgált ajánlat tartalmi eleme</w:t>
      </w:r>
    </w:p>
    <w:p w14:paraId="24B72D5A" w14:textId="0588BDFE" w:rsidR="00BC6262" w:rsidRPr="00FB0781" w:rsidRDefault="00D860EE" w:rsidP="00D860E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6C22">
        <w:rPr>
          <w:rFonts w:ascii="Times New Roman" w:eastAsia="Times New Roman" w:hAnsi="Times New Roman" w:cs="Times New Roman"/>
          <w:sz w:val="24"/>
          <w:szCs w:val="24"/>
          <w:lang w:eastAsia="zh-CN"/>
        </w:rPr>
        <w:t>Ha e módszer alkalmazásával tört pontértékek keletkeznek, akkor azokat az általános szabályoknak megfelelően két tizedes jegyre kell kerekíteni (ehhez Ajánlatkérő Microsoft Excel programot fog használni a pontszámítás során).</w:t>
      </w:r>
    </w:p>
    <w:p w14:paraId="70179978" w14:textId="309F0BB8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</w:t>
      </w:r>
      <w:r w:rsidR="004D28CC">
        <w:rPr>
          <w:b/>
          <w:iCs/>
          <w:u w:val="single"/>
        </w:rPr>
        <w:t>a</w:t>
      </w:r>
      <w:r w:rsidRPr="0039640A">
        <w:rPr>
          <w:b/>
          <w:iCs/>
          <w:u w:val="single"/>
        </w:rPr>
        <w:t>, hogy az ajánlattevő tehet-e többváltozatú (alternatív) ajánlatot, valamint a részajánlattételi lehetőségre vonatkozó előírás:</w:t>
      </w:r>
    </w:p>
    <w:p w14:paraId="5467863B" w14:textId="68EC877A" w:rsidR="000B5261" w:rsidRDefault="00907758" w:rsidP="0090775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2295662B" w14:textId="77777777" w:rsidR="00907758" w:rsidRPr="00A17666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587D46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58FB16C6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33A59A9F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7329A6CB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ha a hiánypótlással az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ajánlattevő az ajánlatban korábban nem szereplő gazdasági szereplőt von be az eljárásba, és e gazdasági szereplőre tekintettel lenne szükséges az újabb hiánypótlás.</w:t>
      </w:r>
    </w:p>
    <w:p w14:paraId="1FF09C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6CA54470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0ED4AC9E" w14:textId="5095681C" w:rsidR="00E97E4E" w:rsidRPr="000B526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B5261">
        <w:rPr>
          <w:b/>
          <w:bCs/>
          <w:u w:val="single"/>
        </w:rPr>
        <w:t>Kizáró okok</w:t>
      </w:r>
      <w:r w:rsidR="000B5261" w:rsidRPr="000B5261">
        <w:rPr>
          <w:b/>
          <w:bCs/>
          <w:u w:val="single"/>
        </w:rPr>
        <w:t>, alkalmassági feltételek</w:t>
      </w:r>
      <w:r w:rsidRPr="000B5261">
        <w:rPr>
          <w:b/>
          <w:bCs/>
          <w:u w:val="single"/>
        </w:rPr>
        <w:t>:</w:t>
      </w:r>
    </w:p>
    <w:p w14:paraId="0FEED130" w14:textId="4B41BB46" w:rsidR="00E97E4E" w:rsidRPr="001F2C7B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 w:rsidR="000B5261">
        <w:rPr>
          <w:rFonts w:ascii="Times New Roman" w:eastAsia="Times New Roman" w:hAnsi="Times New Roman"/>
          <w:sz w:val="24"/>
          <w:szCs w:val="24"/>
        </w:rPr>
        <w:t>, alkalmassági igazolásában résztvevő gazdasági szereplő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57DBE33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29A8D1CF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C85AC5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3F318403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69A22AF9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0D578207" w14:textId="77777777" w:rsidR="00E97E4E" w:rsidRPr="000F42E6" w:rsidRDefault="00E97E4E" w:rsidP="00E97E4E">
      <w:pPr>
        <w:numPr>
          <w:ilvl w:val="0"/>
          <w:numId w:val="4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71240BC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0EE4A4D7" w14:textId="680823FD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p w14:paraId="5D5EA20A" w14:textId="77777777" w:rsidR="000B5261" w:rsidRDefault="000B5261" w:rsidP="000B5261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Alkalmatlan Ajánlattevő a szerződés teljesítésére, ha:</w:t>
      </w:r>
    </w:p>
    <w:p w14:paraId="3DDE3977" w14:textId="4E12F0B0" w:rsidR="00607FEF" w:rsidRPr="00607FEF" w:rsidRDefault="004A445F" w:rsidP="000B5261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1.)</w:t>
      </w:r>
      <w:r w:rsidR="00607FEF" w:rsidRPr="00607F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 nem szerepel a Magyra Könyvvizsgálói Kamara nyilvántartásában (2007. évi LXXV. törvény 34. § (1) bekezdés), illetve a nem Magyarországon letelepedett gazdasági szereplők </w:t>
      </w:r>
      <w:r w:rsidR="00607FEF" w:rsidRPr="00607FE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esetén a letelepedés szerinti ország nyilvántartásában, vagy ha nem rendelkezik a letelepedés szerinti országban előírt engedéllyel, jogosítvánnyal vagy szervezeti, kamarai tagsággal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BB18A81" w14:textId="21728205" w:rsidR="00607FEF" w:rsidRPr="00607FEF" w:rsidRDefault="004A445F" w:rsidP="00607FEF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2.)</w:t>
      </w:r>
      <w:r w:rsidR="000B5261"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nem rendelkezik </w:t>
      </w:r>
      <w:r w:rsidR="00607FEF" w:rsidRPr="00607FE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legalább 1 fő olyan felelős kijelölt könyvvizsgáló szakember</w:t>
      </w:r>
      <w:r w:rsidR="00607FE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rel</w:t>
      </w:r>
      <w:r w:rsidR="00607FEF" w:rsidRPr="00607FE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, aki rendelkezik okleveles könyvvizsgálói (vagy azzal egyenértékű) képzettséggel, és a Magyar Könyvvizsgálói Kamaránál bejegyzett aktív státusszal.</w:t>
      </w:r>
    </w:p>
    <w:p w14:paraId="651B72F1" w14:textId="5144EAB8" w:rsidR="00607FEF" w:rsidRDefault="004A445F" w:rsidP="00607FEF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607FEF"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nem rendelkezik </w:t>
      </w:r>
      <w:r w:rsidR="00607FEF" w:rsidRPr="00607FE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legalább 1 fő olyan, helyettes – felelős kijelölt könyvvizsgáló szakember</w:t>
      </w:r>
      <w:r w:rsidR="00607FE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rel</w:t>
      </w:r>
      <w:r w:rsidR="00607FEF" w:rsidRPr="00607FE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, aki rendelkezik okleveles könyvvizsgálói (vagy azzal egyenértékű) képzettséggel, és a Magyar Könyvvizsgálói Kamaránál bejegyzett aktív státusszal.</w:t>
      </w:r>
    </w:p>
    <w:p w14:paraId="17688908" w14:textId="546E2CB8" w:rsidR="00905694" w:rsidRPr="00607FEF" w:rsidRDefault="00905694" w:rsidP="00607FEF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4.) n</w:t>
      </w:r>
      <w:r w:rsidRPr="00905694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em rendelkezik könyvvizsgálati szolgáltatás ellátására vonatkozó, legalább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1</w:t>
      </w:r>
      <w:r w:rsidRPr="00905694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0 millió Ft/kár és legalább 50 millió Ft/év kártérítési értékű szakmai felelősségbiztosítással.</w:t>
      </w:r>
    </w:p>
    <w:p w14:paraId="127B37F8" w14:textId="55A01E89" w:rsidR="000B5261" w:rsidRPr="00862EC3" w:rsidRDefault="00607FEF" w:rsidP="00607FEF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</w:pPr>
      <w:r w:rsidRPr="00607FE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Szakemberek közötti átfedés nem megengedett, A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jánlatkérő</w:t>
      </w:r>
      <w:r w:rsidRPr="00607FE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felhívja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a</w:t>
      </w:r>
      <w:r w:rsidRPr="00607FE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jánlattevő figyelmét, hogy a szakemberek Magyar Könyvvizsgálói Kamaránál fennálló tagságát az online elérhető nyilvántartásból ellenőrzi. </w:t>
      </w:r>
    </w:p>
    <w:p w14:paraId="44741F78" w14:textId="35E824A6" w:rsidR="004A445F" w:rsidRPr="004A445F" w:rsidRDefault="004A445F" w:rsidP="000B5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45F">
        <w:rPr>
          <w:rFonts w:ascii="Times New Roman" w:hAnsi="Times New Roman" w:cs="Times New Roman"/>
          <w:sz w:val="24"/>
          <w:szCs w:val="24"/>
          <w:u w:val="single"/>
        </w:rPr>
        <w:t>Igazolási módok:</w:t>
      </w:r>
    </w:p>
    <w:p w14:paraId="1C1EF2DF" w14:textId="09238D24" w:rsidR="0044012F" w:rsidRDefault="004A445F" w:rsidP="000B5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0B5261" w:rsidRPr="004648AA">
        <w:rPr>
          <w:rFonts w:ascii="Times New Roman" w:hAnsi="Times New Roman" w:cs="Times New Roman"/>
          <w:sz w:val="24"/>
          <w:szCs w:val="24"/>
        </w:rPr>
        <w:t xml:space="preserve">Ajánlattevő az ajánlatában </w:t>
      </w:r>
      <w:r w:rsidR="00335C5F">
        <w:rPr>
          <w:rFonts w:ascii="Times New Roman" w:hAnsi="Times New Roman" w:cs="Times New Roman"/>
          <w:sz w:val="24"/>
          <w:szCs w:val="24"/>
        </w:rPr>
        <w:t xml:space="preserve">köteles benyújtani </w:t>
      </w:r>
      <w:r w:rsidRPr="004A445F">
        <w:rPr>
          <w:rFonts w:ascii="Times New Roman" w:hAnsi="Times New Roman" w:cs="Times New Roman"/>
          <w:sz w:val="24"/>
          <w:szCs w:val="24"/>
        </w:rPr>
        <w:t>az alkalmassági követelménynek való megfelelés igazolására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45F">
        <w:rPr>
          <w:rFonts w:ascii="Times New Roman" w:hAnsi="Times New Roman" w:cs="Times New Roman"/>
          <w:sz w:val="24"/>
          <w:szCs w:val="24"/>
        </w:rPr>
        <w:t>az engedély vagy jogosítvány másolatát, illetve a szervezeti, kamarai tagságról szóló igazolást benyújtani.</w:t>
      </w:r>
    </w:p>
    <w:p w14:paraId="40D71448" w14:textId="44F57B02" w:rsidR="004A445F" w:rsidRDefault="004A445F" w:rsidP="000B5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 w:rsidR="00492979" w:rsidRPr="004648AA">
        <w:rPr>
          <w:rFonts w:ascii="Times New Roman" w:hAnsi="Times New Roman" w:cs="Times New Roman"/>
          <w:sz w:val="24"/>
          <w:szCs w:val="24"/>
        </w:rPr>
        <w:t xml:space="preserve">Ajánlattevő az ajánlatában </w:t>
      </w:r>
      <w:r w:rsidR="00492979">
        <w:rPr>
          <w:rFonts w:ascii="Times New Roman" w:hAnsi="Times New Roman" w:cs="Times New Roman"/>
          <w:sz w:val="24"/>
          <w:szCs w:val="24"/>
        </w:rPr>
        <w:t xml:space="preserve">köteles benyújtani a nyilatkozatot </w:t>
      </w:r>
      <w:r w:rsidR="00492979" w:rsidRPr="00607FE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felelős kijelölt könyvvizsgáló szakember</w:t>
      </w:r>
      <w:r w:rsidR="00492979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nevéről, valamint a könyvvizsgálói igazolványt.</w:t>
      </w:r>
    </w:p>
    <w:p w14:paraId="7959AB72" w14:textId="60D2DAB1" w:rsidR="004A445F" w:rsidRDefault="004A445F" w:rsidP="000B5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 w:rsidR="00905694" w:rsidRPr="004648AA">
        <w:rPr>
          <w:rFonts w:ascii="Times New Roman" w:hAnsi="Times New Roman" w:cs="Times New Roman"/>
          <w:sz w:val="24"/>
          <w:szCs w:val="24"/>
        </w:rPr>
        <w:t xml:space="preserve">Ajánlattevő az ajánlatában </w:t>
      </w:r>
      <w:r w:rsidR="00905694">
        <w:rPr>
          <w:rFonts w:ascii="Times New Roman" w:hAnsi="Times New Roman" w:cs="Times New Roman"/>
          <w:sz w:val="24"/>
          <w:szCs w:val="24"/>
        </w:rPr>
        <w:t xml:space="preserve">köteles benyújtani </w:t>
      </w:r>
      <w:r w:rsidR="00492979">
        <w:rPr>
          <w:rFonts w:ascii="Times New Roman" w:hAnsi="Times New Roman" w:cs="Times New Roman"/>
          <w:sz w:val="24"/>
          <w:szCs w:val="24"/>
        </w:rPr>
        <w:t xml:space="preserve">a nyilatkozatot helyettes </w:t>
      </w:r>
      <w:r w:rsidR="00492979" w:rsidRPr="00607FEF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felelős kijelölt könyvvizsgáló szakember</w:t>
      </w:r>
      <w:r w:rsidR="00492979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nevéről, valamint a könyvvizsgálói igazolványt.</w:t>
      </w:r>
    </w:p>
    <w:p w14:paraId="6D2E5B01" w14:textId="401AB812" w:rsidR="00905694" w:rsidRDefault="00905694" w:rsidP="000B5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4.) </w:t>
      </w:r>
      <w:r w:rsidRPr="004648AA">
        <w:rPr>
          <w:rFonts w:ascii="Times New Roman" w:hAnsi="Times New Roman" w:cs="Times New Roman"/>
          <w:sz w:val="24"/>
          <w:szCs w:val="24"/>
        </w:rPr>
        <w:t xml:space="preserve">Ajánlattevő az ajánlatában </w:t>
      </w:r>
      <w:r>
        <w:rPr>
          <w:rFonts w:ascii="Times New Roman" w:hAnsi="Times New Roman" w:cs="Times New Roman"/>
          <w:sz w:val="24"/>
          <w:szCs w:val="24"/>
        </w:rPr>
        <w:t xml:space="preserve">köteles benyújtani </w:t>
      </w:r>
      <w:r w:rsidRPr="00905694">
        <w:rPr>
          <w:rFonts w:ascii="Times New Roman" w:hAnsi="Times New Roman" w:cs="Times New Roman"/>
          <w:sz w:val="24"/>
          <w:szCs w:val="24"/>
        </w:rPr>
        <w:t>a szakmai felelősségbiztosítási kötvény egyszerű másolatát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F518A7A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063A5BFE" w14:textId="01C7F117" w:rsidR="00E97E4E" w:rsidRPr="00B86201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 w:rsidR="0049297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4</w:t>
      </w:r>
      <w:r w:rsidR="000951C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C27FD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március 20</w:t>
      </w:r>
      <w:r w:rsidR="0049297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07E7C17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0F4DF4B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2D2738E2" w14:textId="265D3DF0" w:rsidR="00E97E4E" w:rsidRDefault="00E97E4E" w:rsidP="00E97E4E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2" w:name="_Hlk114601640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1" w:history="1">
        <w:r w:rsidR="00905694" w:rsidRPr="005E4492">
          <w:rPr>
            <w:rStyle w:val="Hiperhivatkozs"/>
            <w:rFonts w:ascii="Times New Roman" w:eastAsia="Times New Roman" w:hAnsi="Times New Roman"/>
          </w:rPr>
          <w:t>szabo.katalin@vacholding.hu</w:t>
        </w:r>
      </w:hyperlink>
      <w:r w:rsidR="005B19D3">
        <w:t xml:space="preserve">, </w:t>
      </w:r>
      <w:hyperlink r:id="rId12" w:history="1">
        <w:r w:rsidR="005B19D3" w:rsidRPr="005E4492">
          <w:rPr>
            <w:rStyle w:val="Hiperhivatkozs"/>
            <w:rFonts w:ascii="Times New Roman" w:eastAsia="Times New Roman" w:hAnsi="Times New Roman"/>
          </w:rPr>
          <w:t>pindes.rita@vacholding.hu</w:t>
        </w:r>
      </w:hyperlink>
      <w:r w:rsidRPr="00110FA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3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2"/>
      <w:r w:rsidRPr="00B43651">
        <w:t xml:space="preserve"> e-mail címekre.</w:t>
      </w:r>
    </w:p>
    <w:p w14:paraId="54BDFA83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1740473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17F8B15F" w14:textId="518B9DAB" w:rsidR="000951CB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Amennyiben bármely, az ajánlathoz csatolt okirat, igazolás, nyilatkozat stb. nem magyar nyelven kerül kiállításra, úgy azt az ajánlattevő magyar nyelvű fordításban is köteles becsatolni</w:t>
      </w:r>
      <w:r w:rsidR="00BA0E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 a nem magyar nyelven benyújtott dokumentumok ajánlattevő általi fordítását is elfogadja. A fordítás tartalmának helyességéért az ajánlattevő felel.</w:t>
      </w:r>
    </w:p>
    <w:p w14:paraId="363A4046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73C08C41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3CD18523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4CED5C5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48FD550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39B3769C" w14:textId="77777777" w:rsidR="00E97E4E" w:rsidRPr="00862EC3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34DA17B0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2DCB8CB0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74E0F5E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75479BED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5735C5A9" w14:textId="057D8B06" w:rsidR="00E97E4E" w:rsidRPr="00127C8B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második legkedvezőbb ajánlatot tett ajánlattevő ajánlati kötöttsége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218C3D7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1C1E759E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5792E625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3993F8AD" w14:textId="77777777" w:rsidR="00E97E4E" w:rsidRPr="00C609B7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5C1CA9F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52B0F6BE" w14:textId="77777777" w:rsidR="00E97E4E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9F6AF96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37BB0228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C4E8B41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0C41047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55550DA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250B8C32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470E1B34" w14:textId="0A26E2EA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eljárásban </w:t>
      </w:r>
      <w:r w:rsidR="007367B4"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033666D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591434D9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773C548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6082CA6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azon ajánlattevőt, aki a közös ajánlattevőket az eljárás során kizárólagosan képviseli, illetőleg a közös ajánlattevők nevében hatályos jognyilatkozatot tehet;</w:t>
      </w:r>
    </w:p>
    <w:p w14:paraId="149ACC4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119B558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0F2CC3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4344C875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0CB037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47502F8A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6A3C9606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31545CAA" w14:textId="77777777" w:rsidR="00E97E4E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636B5FB9" w14:textId="49186BC1" w:rsidR="000A6F87" w:rsidRDefault="000A6F87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 felolvasó lapon a megajánlását nem pozitív, egész</w:t>
      </w:r>
      <w:r w:rsidR="002569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számban adja meg;</w:t>
      </w:r>
    </w:p>
    <w:p w14:paraId="55C15BDA" w14:textId="51CD53EB" w:rsidR="002B76AB" w:rsidRDefault="002B76AB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a felolvasó lapon </w:t>
      </w:r>
      <w:r w:rsidR="00334D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nem áraz be </w:t>
      </w:r>
      <w:r w:rsidR="00334DD7" w:rsidRPr="00334DD7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sor</w:t>
      </w:r>
      <w:r w:rsidR="00334DD7">
        <w:rPr>
          <w:rFonts w:ascii="Times New Roman" w:eastAsia="Times New Roman" w:hAnsi="Times New Roman" w:cs="Times New Roman"/>
          <w:sz w:val="24"/>
          <w:szCs w:val="24"/>
          <w:lang w:eastAsia="zh-CN"/>
        </w:rPr>
        <w:t>t;</w:t>
      </w:r>
    </w:p>
    <w:p w14:paraId="4FFD1D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3C517CA1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D2709B4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7DABF05D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483125E8" w14:textId="77777777" w:rsidR="00E97E4E" w:rsidRPr="00862EC3" w:rsidRDefault="00E97E4E" w:rsidP="00E97E4E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20881484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1F87E0A0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Irányadó jog: jelen beszerzési eljárás során a Dokumentáció megküldésekor hatályos jogszabályok rendelkezései az irányadók.</w:t>
      </w:r>
    </w:p>
    <w:p w14:paraId="3AC11758" w14:textId="2C4C7434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4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seres.csaba@vacholding.hu</w:t>
        </w:r>
      </w:hyperlink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hyperlink r:id="rId15" w:history="1">
        <w:r w:rsidR="00F9321A" w:rsidRPr="005E4492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szabo.katalin@vacholding.hu</w:t>
        </w:r>
      </w:hyperlink>
      <w:r w:rsidR="00F9321A">
        <w:rPr>
          <w:rStyle w:val="Hiperhivatkozs"/>
          <w:rFonts w:ascii="Times New Roman" w:eastAsia="Times New Roman" w:hAnsi="Times New Roman"/>
          <w:sz w:val="24"/>
          <w:szCs w:val="24"/>
          <w:lang w:eastAsia="zh-CN"/>
        </w:rPr>
        <w:t>, pindes.rita@vacholding.hu</w:t>
      </w:r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és </w:t>
      </w:r>
      <w:hyperlink r:id="rId16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info@vacholding.hu</w:t>
        </w:r>
      </w:hyperlink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CA94DCF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1AB29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694189F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1256BD6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24AC9E6A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0D46105E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53EEA10B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4A4F3FF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47313EAD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473E3FCD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3A2263DB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2418582A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4FB06EB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D454009" w14:textId="77777777" w:rsidR="00E97E4E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8EB44FC" w14:textId="77777777" w:rsidR="00170A7C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</w:p>
    <w:p w14:paraId="5CB40323" w14:textId="0BB09FD8" w:rsidR="0073219F" w:rsidRPr="0073219F" w:rsidRDefault="00B821A4" w:rsidP="0073219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7321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könyvvizsgálói tevékenységhez kapcsolódó</w:t>
      </w:r>
      <w:r w:rsidR="0073219F" w:rsidRPr="007321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engedély vagy jogosítvány másolatát, illetve a szervezeti, kamarai tagságról szóló igazolást benyújtani.</w:t>
      </w:r>
    </w:p>
    <w:p w14:paraId="00E933AE" w14:textId="5E2EE4B5" w:rsidR="0073219F" w:rsidRPr="0073219F" w:rsidRDefault="00B821A4" w:rsidP="0073219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73219F" w:rsidRPr="0073219F">
        <w:rPr>
          <w:rFonts w:ascii="Times New Roman" w:eastAsia="Times New Roman" w:hAnsi="Times New Roman" w:cs="Times New Roman"/>
          <w:sz w:val="24"/>
          <w:szCs w:val="24"/>
          <w:lang w:eastAsia="zh-CN"/>
        </w:rPr>
        <w:t>yilatkozat</w:t>
      </w:r>
      <w:r w:rsidR="007321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 w:rsidR="0073219F" w:rsidRPr="007321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felelős kijelölt könyvvizsgáló szakember nevéről, valamint a könyvvizsgálói igazolványt.</w:t>
      </w:r>
    </w:p>
    <w:p w14:paraId="0D704526" w14:textId="161182E4" w:rsidR="0073219F" w:rsidRPr="0073219F" w:rsidRDefault="00B821A4" w:rsidP="0073219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73219F" w:rsidRPr="0073219F">
        <w:rPr>
          <w:rFonts w:ascii="Times New Roman" w:eastAsia="Times New Roman" w:hAnsi="Times New Roman" w:cs="Times New Roman"/>
          <w:sz w:val="24"/>
          <w:szCs w:val="24"/>
          <w:lang w:eastAsia="zh-CN"/>
        </w:rPr>
        <w:t>yilatkozat</w:t>
      </w:r>
      <w:r w:rsidR="007321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 w:rsidR="0073219F" w:rsidRPr="007321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helyettes felelős kijelölt könyvvizsgáló szakember nevéről, valamint a könyvvizsgálói igazolványt.</w:t>
      </w:r>
    </w:p>
    <w:p w14:paraId="052E9913" w14:textId="28243BDF" w:rsidR="00E97E4E" w:rsidRPr="00862EC3" w:rsidRDefault="00B821A4" w:rsidP="0073219F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="0073219F" w:rsidRPr="0073219F">
        <w:rPr>
          <w:rFonts w:ascii="Times New Roman" w:eastAsia="Times New Roman" w:hAnsi="Times New Roman" w:cs="Times New Roman"/>
          <w:sz w:val="24"/>
          <w:szCs w:val="24"/>
          <w:lang w:eastAsia="zh-CN"/>
        </w:rPr>
        <w:t>szakmai felelősségbiztosítási kötvény egyszerű másolatát.</w:t>
      </w:r>
      <w:r w:rsidR="00E97E4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7B319E2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CF4E4D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9FC01F8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13E4563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39CC74FE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73B0F52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6BA0B45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0A4F4D22" w14:textId="77777777" w:rsidR="00E97E4E" w:rsidRDefault="00E97E4E" w:rsidP="00E97E4E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1F4EB685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29BCC364" w14:textId="516B5F27" w:rsidR="004D28CC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49A09A36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3148DD03" w14:textId="1B89B31D" w:rsidR="00E97E4E" w:rsidRPr="00862EC3" w:rsidRDefault="00B821A4" w:rsidP="00E97E4E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2024. </w:t>
      </w:r>
      <w:r w:rsidR="00C27F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március 12</w:t>
      </w:r>
      <w:r w:rsidR="00E97E4E"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E97E4E"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E27AB1C" w14:textId="77777777" w:rsidR="00E97E4E" w:rsidRPr="00C416C0" w:rsidRDefault="00E97E4E" w:rsidP="00E97E4E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02DC37C1" w14:textId="77777777" w:rsidR="00E97E4E" w:rsidRPr="00C416C0" w:rsidRDefault="00E97E4E" w:rsidP="00E97E4E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55538DDA" w14:textId="77777777" w:rsidR="00E97E4E" w:rsidRPr="00C416C0" w:rsidRDefault="00E97E4E" w:rsidP="00E97E4E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175BA85" w14:textId="77777777" w:rsidR="00E97E4E" w:rsidRPr="00C416C0" w:rsidRDefault="00E97E4E" w:rsidP="00E97E4E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1C812E06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E97E4E" w:rsidRPr="00C416C0" w14:paraId="0D3FF31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6E61" w14:textId="77777777" w:rsidR="00E97E4E" w:rsidRPr="00C416C0" w:rsidRDefault="00E97E4E" w:rsidP="00757173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482F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E97E4E" w:rsidRPr="00C416C0" w14:paraId="0F305E5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FB3B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F344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F5DFDF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9D0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ED5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1DF493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AA46" w14:textId="77777777" w:rsidR="00E97E4E" w:rsidRPr="00C416C0" w:rsidRDefault="00E97E4E" w:rsidP="0075717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37B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92B42D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44A9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D44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3604C9E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21E5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4EB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8EF9FE9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329B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5647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7AC8ABF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7760" w14:textId="4F30CF62" w:rsidR="00E97E4E" w:rsidRPr="000F3C23" w:rsidRDefault="000F3C23" w:rsidP="000F3C23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könyvvizsgálói tevékenységhez kapcsolódó</w:t>
            </w:r>
            <w:r w:rsidRPr="00732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engedély vagy jogosítvány másolatát, illetve a szervezeti, kamarai tagságról szóló igazolást benyújtani.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6D8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3C23" w:rsidRPr="00C416C0" w14:paraId="6A4B6BD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D62F" w14:textId="0F43D685" w:rsidR="000F3C23" w:rsidRDefault="000F3C23" w:rsidP="000F3C23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732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yilatkozat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</w:t>
            </w:r>
            <w:r w:rsidRPr="00732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felelős kijelölt könyvvizsgáló szakember nevéről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ACA8" w14:textId="77777777" w:rsidR="000F3C23" w:rsidRPr="00C416C0" w:rsidRDefault="000F3C23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3C23" w:rsidRPr="00C416C0" w14:paraId="794FA52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D3B5" w14:textId="0DFBEBD2" w:rsidR="000F3C23" w:rsidRDefault="000F3C23" w:rsidP="000F3C23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732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yilatkozat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</w:t>
            </w:r>
            <w:r w:rsidRPr="00732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helyettes felelős kijelölt könyvvizsgáló szakember nevérő</w:t>
            </w:r>
            <w:r w:rsidR="004F3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997A" w14:textId="77777777" w:rsidR="000F3C23" w:rsidRPr="00C416C0" w:rsidRDefault="000F3C23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3C23" w:rsidRPr="00C416C0" w14:paraId="556247F6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70F8" w14:textId="67544B0C" w:rsidR="000F3C23" w:rsidRDefault="000F3C23" w:rsidP="000F3C23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</w:t>
            </w:r>
            <w:r w:rsidRPr="00732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elelős kijelölt könyvvizsgáló szakember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32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könyvvizsgálói igazolvány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8FBD" w14:textId="77777777" w:rsidR="000F3C23" w:rsidRPr="00C416C0" w:rsidRDefault="000F3C23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3C23" w:rsidRPr="00C416C0" w14:paraId="05063161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894E" w14:textId="193573A8" w:rsidR="000F3C23" w:rsidRDefault="000F3C23" w:rsidP="000F3C23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Helyettes f</w:t>
            </w:r>
            <w:r w:rsidRPr="00732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elelős kijelölt könyvvizsgáló szakember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32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könyvvizsgálói igazolvány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46DB" w14:textId="77777777" w:rsidR="000F3C23" w:rsidRPr="00C416C0" w:rsidRDefault="000F3C23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3C23" w:rsidRPr="00C416C0" w14:paraId="7154B68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6836" w14:textId="66D198F9" w:rsidR="000F3C23" w:rsidRDefault="000F3C23" w:rsidP="000F3C23">
            <w:pPr>
              <w:spacing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 </w:t>
            </w:r>
            <w:r w:rsidRPr="007321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szakmai felelősségbiztosítási kötvény egyszerű másolat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5B530" w14:textId="77777777" w:rsidR="000F3C23" w:rsidRPr="00C416C0" w:rsidRDefault="000F3C23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6EFFB7E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ADC3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E01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D26134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F17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36B9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DC9305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3E6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B4B3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6BBFF23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3013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4B2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0537CCF1" w14:textId="77777777" w:rsidR="00E97E4E" w:rsidRDefault="00E97E4E" w:rsidP="00E97E4E">
      <w:pPr>
        <w:pStyle w:val="NormlWeb"/>
        <w:spacing w:before="0" w:beforeAutospacing="0" w:after="120" w:afterAutospacing="0" w:line="288" w:lineRule="auto"/>
        <w:jc w:val="both"/>
      </w:pPr>
    </w:p>
    <w:p w14:paraId="48BDEA41" w14:textId="77777777" w:rsidR="00E97E4E" w:rsidRDefault="00E97E4E" w:rsidP="00E97E4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38D09C00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35FD846B" w14:textId="77777777" w:rsidR="00E97E4E" w:rsidRPr="00C416C0" w:rsidRDefault="00E97E4E" w:rsidP="00E97E4E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59CDBD3C" w14:textId="77777777" w:rsidR="00E97E4E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E181C3" w14:textId="5220EB9E" w:rsidR="00E97E4E" w:rsidRPr="00C416C0" w:rsidRDefault="006D6449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2DF4">
        <w:rPr>
          <w:rFonts w:ascii="Times New Roman" w:hAnsi="Times New Roman" w:cs="Times New Roman"/>
          <w:b/>
          <w:bCs/>
          <w:sz w:val="24"/>
          <w:szCs w:val="24"/>
        </w:rPr>
        <w:t>Könyvvizsgálói szolgáltatás ellátása</w:t>
      </w:r>
    </w:p>
    <w:p w14:paraId="1A3BDCF3" w14:textId="77777777" w:rsidR="00E97E4E" w:rsidRPr="00C416C0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E97E4E" w:rsidRPr="00C416C0" w14:paraId="287C874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1838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C9D3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98D299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AB81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4A7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5C05FDC8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A9E7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E766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47CE0DA1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D7AA" w14:textId="581B877F" w:rsidR="00E97E4E" w:rsidRPr="00884BFD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884BFD"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</w:t>
            </w:r>
            <w:r w:rsidR="00884BFD" w:rsidRPr="00884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Nyilvántartási száma</w:t>
            </w:r>
            <w:r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982F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FD8B2C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A910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0E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0F7DBB76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7076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40C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9F54952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602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950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381B0CFD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9A8A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927A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EFDCC0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285F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6B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516FC58" w14:textId="77777777" w:rsidR="00E97E4E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6D6449" w14:paraId="5642B060" w14:textId="77777777" w:rsidTr="006D6449">
        <w:trPr>
          <w:trHeight w:val="912"/>
        </w:trPr>
        <w:tc>
          <w:tcPr>
            <w:tcW w:w="4957" w:type="dxa"/>
            <w:shd w:val="clear" w:color="auto" w:fill="92D050"/>
            <w:vAlign w:val="center"/>
          </w:tcPr>
          <w:p w14:paraId="7564F57E" w14:textId="19FA2E34" w:rsidR="006D6449" w:rsidRPr="002E488E" w:rsidRDefault="006D6449" w:rsidP="007A0C9E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2E488E">
              <w:rPr>
                <w:b/>
                <w:bCs/>
                <w:color w:val="000000"/>
                <w:lang w:eastAsia="zh-CN"/>
              </w:rPr>
              <w:t>Értékelési szempont</w:t>
            </w:r>
          </w:p>
        </w:tc>
        <w:tc>
          <w:tcPr>
            <w:tcW w:w="4105" w:type="dxa"/>
            <w:shd w:val="clear" w:color="auto" w:fill="92D050"/>
            <w:vAlign w:val="center"/>
          </w:tcPr>
          <w:p w14:paraId="3163A1CB" w14:textId="18954966" w:rsidR="006D6449" w:rsidRDefault="006D6449" w:rsidP="007A0C9E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color w:val="000000"/>
              </w:rPr>
            </w:pPr>
            <w:r w:rsidRPr="00C416C0">
              <w:rPr>
                <w:b/>
                <w:bCs/>
                <w:color w:val="000000"/>
                <w:lang w:eastAsia="zh-CN"/>
              </w:rPr>
              <w:t>Megajánlás</w:t>
            </w:r>
          </w:p>
        </w:tc>
      </w:tr>
      <w:tr w:rsidR="006D6449" w14:paraId="1B8CC42F" w14:textId="77777777" w:rsidTr="006D6449">
        <w:tc>
          <w:tcPr>
            <w:tcW w:w="4957" w:type="dxa"/>
            <w:vAlign w:val="center"/>
          </w:tcPr>
          <w:p w14:paraId="65982DDD" w14:textId="5DB41F77" w:rsidR="006D6449" w:rsidRPr="002E488E" w:rsidRDefault="006D6449" w:rsidP="006D6449">
            <w:pPr>
              <w:pStyle w:val="NormlWeb"/>
              <w:spacing w:before="0" w:beforeAutospacing="0" w:after="120" w:afterAutospacing="0" w:line="288" w:lineRule="auto"/>
              <w:ind w:right="150"/>
              <w:jc w:val="both"/>
              <w:rPr>
                <w:b/>
                <w:bCs/>
              </w:rPr>
            </w:pPr>
            <w:r w:rsidRPr="00904C00">
              <w:rPr>
                <w:b/>
                <w:bCs/>
                <w:color w:val="000000"/>
              </w:rPr>
              <w:t>Váci Városfejlesztő Kft.</w:t>
            </w:r>
            <w:r w:rsidR="00033599">
              <w:rPr>
                <w:b/>
                <w:bCs/>
                <w:color w:val="000000"/>
              </w:rPr>
              <w:t xml:space="preserve"> (</w:t>
            </w:r>
            <w:r w:rsidR="00033599" w:rsidRPr="00904C00">
              <w:rPr>
                <w:b/>
                <w:color w:val="000000"/>
              </w:rPr>
              <w:t>Nettó</w:t>
            </w:r>
            <w:r w:rsidR="00033599">
              <w:rPr>
                <w:b/>
                <w:color w:val="000000"/>
              </w:rPr>
              <w:t xml:space="preserve"> </w:t>
            </w:r>
            <w:proofErr w:type="spellStart"/>
            <w:r w:rsidR="00033599" w:rsidRPr="00904C00">
              <w:rPr>
                <w:b/>
                <w:color w:val="000000"/>
              </w:rPr>
              <w:t>Ft+Áfa</w:t>
            </w:r>
            <w:proofErr w:type="spellEnd"/>
            <w:r w:rsidR="00033599" w:rsidRPr="00904C00">
              <w:rPr>
                <w:b/>
                <w:color w:val="000000"/>
              </w:rPr>
              <w:t xml:space="preserve"> / hó</w:t>
            </w:r>
            <w:r w:rsidR="00033599">
              <w:rPr>
                <w:b/>
                <w:bCs/>
                <w:color w:val="000000"/>
              </w:rPr>
              <w:t>)</w:t>
            </w:r>
          </w:p>
        </w:tc>
        <w:tc>
          <w:tcPr>
            <w:tcW w:w="4105" w:type="dxa"/>
            <w:vAlign w:val="center"/>
          </w:tcPr>
          <w:p w14:paraId="00D58CF2" w14:textId="33A1380C" w:rsidR="006D6449" w:rsidRPr="002E488E" w:rsidRDefault="006D6449" w:rsidP="006D6449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904C00">
              <w:rPr>
                <w:b/>
                <w:color w:val="000000"/>
              </w:rPr>
              <w:t xml:space="preserve">Nettó </w:t>
            </w:r>
            <w:proofErr w:type="gramStart"/>
            <w:r>
              <w:rPr>
                <w:b/>
                <w:color w:val="000000"/>
              </w:rPr>
              <w:t>…,-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 w:rsidRPr="00904C00">
              <w:rPr>
                <w:b/>
                <w:color w:val="000000"/>
              </w:rPr>
              <w:t>Ft+Áfa</w:t>
            </w:r>
            <w:proofErr w:type="spellEnd"/>
            <w:r w:rsidRPr="00904C00">
              <w:rPr>
                <w:b/>
                <w:color w:val="000000"/>
              </w:rPr>
              <w:t xml:space="preserve"> / hó</w:t>
            </w:r>
          </w:p>
        </w:tc>
      </w:tr>
      <w:tr w:rsidR="006D6449" w14:paraId="2387ECA7" w14:textId="77777777" w:rsidTr="006D6449">
        <w:tc>
          <w:tcPr>
            <w:tcW w:w="4957" w:type="dxa"/>
            <w:vAlign w:val="center"/>
          </w:tcPr>
          <w:p w14:paraId="024EEF42" w14:textId="2350FAA3" w:rsidR="006D6449" w:rsidRPr="002E488E" w:rsidRDefault="006D6449" w:rsidP="006D6449">
            <w:pPr>
              <w:pStyle w:val="NormlWeb"/>
              <w:spacing w:before="0" w:beforeAutospacing="0" w:after="120" w:afterAutospacing="0" w:line="288" w:lineRule="auto"/>
              <w:ind w:right="150"/>
              <w:jc w:val="both"/>
              <w:rPr>
                <w:b/>
                <w:bCs/>
              </w:rPr>
            </w:pPr>
            <w:r w:rsidRPr="00904C00">
              <w:rPr>
                <w:b/>
                <w:bCs/>
                <w:color w:val="000000"/>
              </w:rPr>
              <w:t>Váci Városimázs Nonprofit Kft.</w:t>
            </w:r>
            <w:r w:rsidR="00033599">
              <w:rPr>
                <w:b/>
                <w:bCs/>
                <w:color w:val="000000"/>
              </w:rPr>
              <w:t xml:space="preserve"> (</w:t>
            </w:r>
            <w:r w:rsidR="00033599" w:rsidRPr="00904C00">
              <w:rPr>
                <w:b/>
                <w:color w:val="000000"/>
              </w:rPr>
              <w:t>Nettó</w:t>
            </w:r>
            <w:r w:rsidR="00033599">
              <w:rPr>
                <w:b/>
                <w:color w:val="000000"/>
              </w:rPr>
              <w:t xml:space="preserve"> </w:t>
            </w:r>
            <w:proofErr w:type="spellStart"/>
            <w:r w:rsidR="00033599" w:rsidRPr="00904C00">
              <w:rPr>
                <w:b/>
                <w:color w:val="000000"/>
              </w:rPr>
              <w:t>Ft+Áfa</w:t>
            </w:r>
            <w:proofErr w:type="spellEnd"/>
            <w:r w:rsidR="00033599" w:rsidRPr="00904C00">
              <w:rPr>
                <w:b/>
                <w:color w:val="000000"/>
              </w:rPr>
              <w:t xml:space="preserve"> / hó</w:t>
            </w:r>
            <w:r w:rsidR="00033599">
              <w:rPr>
                <w:b/>
                <w:bCs/>
                <w:color w:val="000000"/>
              </w:rPr>
              <w:t>)</w:t>
            </w:r>
          </w:p>
        </w:tc>
        <w:tc>
          <w:tcPr>
            <w:tcW w:w="4105" w:type="dxa"/>
            <w:vAlign w:val="center"/>
          </w:tcPr>
          <w:p w14:paraId="34B51F8B" w14:textId="3C89CBF4" w:rsidR="006D6449" w:rsidRPr="002E488E" w:rsidRDefault="006D6449" w:rsidP="006D6449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904C00">
              <w:rPr>
                <w:b/>
                <w:color w:val="000000"/>
              </w:rPr>
              <w:t xml:space="preserve">Nettó </w:t>
            </w:r>
            <w:proofErr w:type="gramStart"/>
            <w:r>
              <w:rPr>
                <w:b/>
                <w:color w:val="000000"/>
              </w:rPr>
              <w:t>…,-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 w:rsidRPr="00904C00">
              <w:rPr>
                <w:b/>
                <w:color w:val="000000"/>
              </w:rPr>
              <w:t>Ft+Áfa</w:t>
            </w:r>
            <w:proofErr w:type="spellEnd"/>
            <w:r w:rsidRPr="00904C00">
              <w:rPr>
                <w:b/>
                <w:color w:val="000000"/>
              </w:rPr>
              <w:t xml:space="preserve"> / hó</w:t>
            </w:r>
          </w:p>
        </w:tc>
      </w:tr>
      <w:tr w:rsidR="006D6449" w14:paraId="1BE55B50" w14:textId="77777777" w:rsidTr="006D6449">
        <w:tc>
          <w:tcPr>
            <w:tcW w:w="4957" w:type="dxa"/>
            <w:vAlign w:val="center"/>
          </w:tcPr>
          <w:p w14:paraId="308E9A00" w14:textId="0516F021" w:rsidR="006D6449" w:rsidRPr="002E488E" w:rsidRDefault="006D6449" w:rsidP="006D6449">
            <w:pPr>
              <w:pStyle w:val="NormlWeb"/>
              <w:spacing w:before="0" w:beforeAutospacing="0" w:after="120" w:afterAutospacing="0" w:line="288" w:lineRule="auto"/>
              <w:ind w:right="150"/>
              <w:jc w:val="both"/>
              <w:rPr>
                <w:b/>
                <w:bCs/>
              </w:rPr>
            </w:pPr>
            <w:r w:rsidRPr="00904C00">
              <w:rPr>
                <w:b/>
                <w:bCs/>
                <w:color w:val="000000"/>
              </w:rPr>
              <w:t>Váci Sport Közhasznú Nonprofit Kft.</w:t>
            </w:r>
            <w:r w:rsidR="00033599">
              <w:rPr>
                <w:b/>
                <w:bCs/>
                <w:color w:val="000000"/>
              </w:rPr>
              <w:t xml:space="preserve"> (</w:t>
            </w:r>
            <w:r w:rsidR="00033599" w:rsidRPr="00904C00">
              <w:rPr>
                <w:b/>
                <w:color w:val="000000"/>
              </w:rPr>
              <w:t>Nettó</w:t>
            </w:r>
            <w:r w:rsidR="00033599">
              <w:rPr>
                <w:b/>
                <w:color w:val="000000"/>
              </w:rPr>
              <w:t xml:space="preserve"> </w:t>
            </w:r>
            <w:proofErr w:type="spellStart"/>
            <w:r w:rsidR="00033599" w:rsidRPr="00904C00">
              <w:rPr>
                <w:b/>
                <w:color w:val="000000"/>
              </w:rPr>
              <w:t>Ft+Áfa</w:t>
            </w:r>
            <w:proofErr w:type="spellEnd"/>
            <w:r w:rsidR="00033599" w:rsidRPr="00904C00">
              <w:rPr>
                <w:b/>
                <w:color w:val="000000"/>
              </w:rPr>
              <w:t xml:space="preserve"> / hó</w:t>
            </w:r>
            <w:r w:rsidR="00033599">
              <w:rPr>
                <w:b/>
                <w:bCs/>
                <w:color w:val="000000"/>
              </w:rPr>
              <w:t>)</w:t>
            </w:r>
          </w:p>
        </w:tc>
        <w:tc>
          <w:tcPr>
            <w:tcW w:w="4105" w:type="dxa"/>
            <w:vAlign w:val="center"/>
          </w:tcPr>
          <w:p w14:paraId="20208D9C" w14:textId="09120E8B" w:rsidR="006D6449" w:rsidRPr="002E488E" w:rsidRDefault="006D6449" w:rsidP="006D6449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904C00">
              <w:rPr>
                <w:b/>
                <w:color w:val="000000"/>
              </w:rPr>
              <w:t xml:space="preserve">Nettó </w:t>
            </w:r>
            <w:proofErr w:type="gramStart"/>
            <w:r>
              <w:rPr>
                <w:b/>
                <w:color w:val="000000"/>
              </w:rPr>
              <w:t>…,-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 w:rsidRPr="00904C00">
              <w:rPr>
                <w:b/>
                <w:color w:val="000000"/>
              </w:rPr>
              <w:t>Ft+Áfa</w:t>
            </w:r>
            <w:proofErr w:type="spellEnd"/>
            <w:r w:rsidRPr="00904C00">
              <w:rPr>
                <w:b/>
                <w:color w:val="000000"/>
              </w:rPr>
              <w:t xml:space="preserve"> / hó</w:t>
            </w:r>
          </w:p>
        </w:tc>
      </w:tr>
      <w:tr w:rsidR="006D6449" w14:paraId="55119576" w14:textId="77777777" w:rsidTr="006D6449">
        <w:tc>
          <w:tcPr>
            <w:tcW w:w="4957" w:type="dxa"/>
            <w:vAlign w:val="center"/>
          </w:tcPr>
          <w:p w14:paraId="48ECC409" w14:textId="0E297D0B" w:rsidR="006D6449" w:rsidRPr="002E488E" w:rsidRDefault="006D6449" w:rsidP="006D6449">
            <w:pPr>
              <w:pStyle w:val="NormlWeb"/>
              <w:spacing w:before="0" w:beforeAutospacing="0" w:after="120" w:afterAutospacing="0" w:line="288" w:lineRule="auto"/>
              <w:ind w:right="150"/>
              <w:jc w:val="both"/>
              <w:rPr>
                <w:b/>
                <w:bCs/>
              </w:rPr>
            </w:pPr>
            <w:r w:rsidRPr="00904C00">
              <w:rPr>
                <w:b/>
                <w:bCs/>
                <w:color w:val="000000"/>
              </w:rPr>
              <w:t>Váci Távhő Nonprofit Közhasznú Kft.</w:t>
            </w:r>
            <w:r w:rsidR="00033599">
              <w:rPr>
                <w:b/>
                <w:bCs/>
                <w:color w:val="000000"/>
              </w:rPr>
              <w:t xml:space="preserve"> (</w:t>
            </w:r>
            <w:r w:rsidR="00033599" w:rsidRPr="00904C00">
              <w:rPr>
                <w:b/>
                <w:color w:val="000000"/>
              </w:rPr>
              <w:t>Nettó</w:t>
            </w:r>
            <w:r w:rsidR="00033599">
              <w:rPr>
                <w:b/>
                <w:color w:val="000000"/>
              </w:rPr>
              <w:t xml:space="preserve"> </w:t>
            </w:r>
            <w:proofErr w:type="spellStart"/>
            <w:r w:rsidR="00033599" w:rsidRPr="00904C00">
              <w:rPr>
                <w:b/>
                <w:color w:val="000000"/>
              </w:rPr>
              <w:t>Ft+Áfa</w:t>
            </w:r>
            <w:proofErr w:type="spellEnd"/>
            <w:r w:rsidR="00033599" w:rsidRPr="00904C00">
              <w:rPr>
                <w:b/>
                <w:color w:val="000000"/>
              </w:rPr>
              <w:t xml:space="preserve"> / hó</w:t>
            </w:r>
            <w:r w:rsidR="00033599">
              <w:rPr>
                <w:b/>
                <w:bCs/>
                <w:color w:val="000000"/>
              </w:rPr>
              <w:t>)</w:t>
            </w:r>
          </w:p>
        </w:tc>
        <w:tc>
          <w:tcPr>
            <w:tcW w:w="4105" w:type="dxa"/>
            <w:vAlign w:val="center"/>
          </w:tcPr>
          <w:p w14:paraId="5396A3AA" w14:textId="53B6E49B" w:rsidR="006D6449" w:rsidRPr="002E488E" w:rsidRDefault="006D6449" w:rsidP="006D6449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904C00">
              <w:rPr>
                <w:b/>
                <w:color w:val="000000"/>
              </w:rPr>
              <w:t xml:space="preserve">Nettó </w:t>
            </w:r>
            <w:proofErr w:type="gramStart"/>
            <w:r>
              <w:rPr>
                <w:b/>
                <w:color w:val="000000"/>
              </w:rPr>
              <w:t>…,-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 w:rsidRPr="00904C00">
              <w:rPr>
                <w:b/>
                <w:color w:val="000000"/>
              </w:rPr>
              <w:t>Ft+Áfa</w:t>
            </w:r>
            <w:proofErr w:type="spellEnd"/>
            <w:r w:rsidRPr="00904C00">
              <w:rPr>
                <w:b/>
                <w:color w:val="000000"/>
              </w:rPr>
              <w:t xml:space="preserve"> / hó</w:t>
            </w:r>
          </w:p>
        </w:tc>
      </w:tr>
    </w:tbl>
    <w:p w14:paraId="55B1EE36" w14:textId="77777777" w:rsidR="00277868" w:rsidRPr="00C416C0" w:rsidRDefault="00277868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DB7EA7" w14:textId="77777777" w:rsidR="00E97E4E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333AFF6" w14:textId="77777777" w:rsidR="00033599" w:rsidRDefault="00033599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3E2EC51" w14:textId="77777777" w:rsidR="00033599" w:rsidRPr="00C416C0" w:rsidRDefault="00033599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896BFD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7A4A2F42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1625A91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F1D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53937C2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F1CC11B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D28E20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475043C" w14:textId="77777777" w:rsidR="00E97E4E" w:rsidRPr="00325FA9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683040C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1E31B0A4" w14:textId="309A6118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AE4494" w:rsidRPr="00AB2DF4">
        <w:rPr>
          <w:rFonts w:ascii="Times New Roman" w:hAnsi="Times New Roman" w:cs="Times New Roman"/>
          <w:b/>
          <w:bCs/>
          <w:sz w:val="24"/>
          <w:szCs w:val="24"/>
        </w:rPr>
        <w:t>Könyvvizsgálói szolgáltatás ellátása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73524CB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755A062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6AF6A757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137EA959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336EC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92ECCDF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7F62DD62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608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ED3E27B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71A42F1E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2B09912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0BED1518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14EED1F" w14:textId="5EE1406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AE4494" w:rsidRPr="00AB2DF4">
        <w:rPr>
          <w:rFonts w:ascii="Times New Roman" w:hAnsi="Times New Roman" w:cs="Times New Roman"/>
          <w:b/>
          <w:bCs/>
          <w:sz w:val="24"/>
          <w:szCs w:val="24"/>
        </w:rPr>
        <w:t>Könyvvizsgálói szolgáltatás ellátása</w:t>
      </w:r>
      <w:r w:rsidR="002E488E" w:rsidRPr="002E488E">
        <w:rPr>
          <w:rFonts w:ascii="Times New Roman" w:hAnsi="Times New Roman" w:cs="Times New Roman"/>
          <w:sz w:val="24"/>
          <w:szCs w:val="24"/>
        </w:rPr>
        <w:t>”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tárgyában kiírt beszerzési eljárás során az alábbi nyilatkozatot teszem:</w:t>
      </w:r>
    </w:p>
    <w:p w14:paraId="6BEB88F6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F2493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7AF09D5F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7E4E" w:rsidRPr="00C416C0" w14:paraId="1D1C173D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3B25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B340189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D1CB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E97E4E" w:rsidRPr="00C416C0" w14:paraId="75130E84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455E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088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2E4F2A5B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E3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6CF7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E18AABE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5B1205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7CEF8DF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2E5F8D" w14:textId="77777777" w:rsidR="00E97E4E" w:rsidRPr="00C416C0" w:rsidRDefault="00E97E4E" w:rsidP="00E97E4E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20146437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9554A1A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808A328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6B056B7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1BF6" w14:textId="77777777" w:rsidR="00E97E4E" w:rsidRPr="00C416C0" w:rsidRDefault="00E97E4E" w:rsidP="00757173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F83F18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53996298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3E684A1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41F04620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39BF22AD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74A213A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08D8A81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7AB62E15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3A12DBC2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00856C56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1999BDF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3A19725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7D444F21" w14:textId="77777777" w:rsidR="00E97E4E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09C8D24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50DF6423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5116630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8A0041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506A92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75A8" w14:textId="77777777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B938E56" w14:textId="77777777" w:rsidR="00E97E4E" w:rsidRPr="00C416C0" w:rsidRDefault="00E97E4E" w:rsidP="00E97E4E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3A08605E" w14:textId="77777777" w:rsidR="00AE4494" w:rsidRPr="00C416C0" w:rsidRDefault="00AE4494" w:rsidP="00AE4494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6E65C32C" w14:textId="77777777" w:rsidR="00AE4494" w:rsidRPr="00C416C0" w:rsidRDefault="00AE4494" w:rsidP="00AE4494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0FD64B2" w14:textId="77777777" w:rsidR="00AE4494" w:rsidRPr="00C416C0" w:rsidRDefault="00AE4494" w:rsidP="00AE4494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240CE84B" w14:textId="77777777" w:rsidR="00AE4494" w:rsidRPr="00C416C0" w:rsidRDefault="00AE4494" w:rsidP="00AE4494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1E3840BE" w14:textId="77777777" w:rsidR="00AE4494" w:rsidRPr="00C416C0" w:rsidRDefault="00AE4494" w:rsidP="00AE449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6F18750A" w14:textId="77777777" w:rsidR="00AE4494" w:rsidRPr="00C416C0" w:rsidRDefault="00AE4494" w:rsidP="00AE449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184EED6E" w14:textId="77777777" w:rsidR="00AE4494" w:rsidRPr="00C416C0" w:rsidRDefault="00AE4494" w:rsidP="00AE449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26F764E9" w14:textId="77777777" w:rsidR="00AE4494" w:rsidRPr="00C416C0" w:rsidRDefault="00AE4494" w:rsidP="00AE449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7BE71136" w14:textId="77777777" w:rsidR="00AE4494" w:rsidRPr="00C416C0" w:rsidRDefault="00AE4494" w:rsidP="00AE449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6A8C4B43" w14:textId="77777777" w:rsidR="00AE4494" w:rsidRPr="00C416C0" w:rsidRDefault="00AE4494" w:rsidP="00AE449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233032EA" w14:textId="77777777" w:rsidR="00AE4494" w:rsidRPr="00C416C0" w:rsidRDefault="00AE4494" w:rsidP="00AE449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0B1E123A" w14:textId="77777777" w:rsidR="00AE4494" w:rsidRPr="00C416C0" w:rsidRDefault="00AE4494" w:rsidP="00AE449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1BADFF08" w14:textId="77777777" w:rsidR="00AE4494" w:rsidRPr="00C416C0" w:rsidRDefault="00AE4494" w:rsidP="00AE449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AB2DF4">
        <w:rPr>
          <w:rFonts w:ascii="Times New Roman" w:hAnsi="Times New Roman" w:cs="Times New Roman"/>
          <w:b/>
          <w:bCs/>
          <w:sz w:val="24"/>
          <w:szCs w:val="24"/>
        </w:rPr>
        <w:t>Könyvvizsgálói szolgáltatás ellátása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7D1DA613" w14:textId="77777777" w:rsidR="00AE4494" w:rsidRPr="00C416C0" w:rsidRDefault="00AE4494" w:rsidP="00AE449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7934BD" w14:textId="77777777" w:rsidR="00AE4494" w:rsidRPr="00C416C0" w:rsidRDefault="00AE4494" w:rsidP="00AE449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45E93105" w14:textId="77777777" w:rsidR="00AE4494" w:rsidRPr="00C416C0" w:rsidRDefault="00AE4494" w:rsidP="00AE449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AE4494" w:rsidRPr="00C416C0" w14:paraId="0DE365CC" w14:textId="77777777" w:rsidTr="00922122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581F" w14:textId="77777777" w:rsidR="00AE4494" w:rsidRPr="00C416C0" w:rsidRDefault="00AE4494" w:rsidP="00922122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67C4EFFD" w14:textId="77777777" w:rsidR="00AE4494" w:rsidRDefault="00AE4494" w:rsidP="00AE449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937B58C" w14:textId="77777777" w:rsidR="00AE4494" w:rsidRDefault="00AE4494" w:rsidP="00AE449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B99F502" w14:textId="79F75AD2" w:rsidR="00AE4494" w:rsidRDefault="00AE449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br w:type="page"/>
      </w:r>
    </w:p>
    <w:p w14:paraId="393C8045" w14:textId="5CADFA3E" w:rsidR="00AE4494" w:rsidRPr="00C416C0" w:rsidRDefault="00AE4494" w:rsidP="00AE4494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7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6111AAAF" w14:textId="77777777" w:rsidR="00AE4494" w:rsidRPr="00C416C0" w:rsidRDefault="00AE4494" w:rsidP="00AE4494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7DCDF0AF" w14:textId="6D7C9C64" w:rsidR="00AE4494" w:rsidRPr="00C416C0" w:rsidRDefault="00D05635" w:rsidP="00AE4494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szakemberek nevéről</w:t>
      </w:r>
    </w:p>
    <w:p w14:paraId="6097661A" w14:textId="77777777" w:rsidR="00AE4494" w:rsidRPr="00C416C0" w:rsidRDefault="00AE4494" w:rsidP="00AE4494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D05635" w:rsidRPr="00D05635" w14:paraId="0D65C480" w14:textId="77777777" w:rsidTr="00D05635">
        <w:trPr>
          <w:jc w:val="center"/>
        </w:trPr>
        <w:tc>
          <w:tcPr>
            <w:tcW w:w="4390" w:type="dxa"/>
            <w:shd w:val="clear" w:color="auto" w:fill="92D050"/>
            <w:vAlign w:val="center"/>
          </w:tcPr>
          <w:p w14:paraId="451D844A" w14:textId="1A521C7A" w:rsidR="00D05635" w:rsidRPr="00D05635" w:rsidRDefault="00D05635" w:rsidP="00D05635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iCs/>
                <w:cap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A </w:t>
            </w:r>
            <w:r w:rsidRPr="00D056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felelős kijelölt könyvvizsgáló szakember </w:t>
            </w:r>
            <w:r w:rsidRPr="00D05635"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4677" w:type="dxa"/>
            <w:vAlign w:val="center"/>
          </w:tcPr>
          <w:p w14:paraId="1868F403" w14:textId="77777777" w:rsidR="00D05635" w:rsidRPr="00D05635" w:rsidRDefault="00D05635" w:rsidP="00D05635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i/>
                <w:cap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  <w:t>.....</w:t>
            </w:r>
          </w:p>
        </w:tc>
      </w:tr>
      <w:tr w:rsidR="00D05635" w:rsidRPr="00D05635" w14:paraId="2767808B" w14:textId="77777777" w:rsidTr="00D05635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83D9D1" w14:textId="77777777" w:rsidR="00D05635" w:rsidRPr="00D05635" w:rsidRDefault="00D05635" w:rsidP="00D05635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  <w:t>Kamara megnevezését, melynek a szakember a nyilvántartásában szerepel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D29C" w14:textId="77777777" w:rsidR="00D05635" w:rsidRPr="00D05635" w:rsidRDefault="00D05635" w:rsidP="00D05635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</w:pPr>
          </w:p>
        </w:tc>
      </w:tr>
      <w:tr w:rsidR="00D05635" w:rsidRPr="00D05635" w14:paraId="0FFAD8B0" w14:textId="77777777" w:rsidTr="00D05635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BB1994" w14:textId="72A8B1D4" w:rsidR="00D05635" w:rsidRPr="00D05635" w:rsidRDefault="00D05635" w:rsidP="00D05635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  <w:t>A kamarai névjegyzékbe vételt igazoló nyilvántartási szám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EBD" w14:textId="77777777" w:rsidR="00D05635" w:rsidRPr="00D05635" w:rsidRDefault="00D05635" w:rsidP="00D05635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  <w:t>…</w:t>
            </w:r>
          </w:p>
        </w:tc>
      </w:tr>
      <w:tr w:rsidR="00D05635" w:rsidRPr="00D05635" w14:paraId="267A9D8A" w14:textId="77777777" w:rsidTr="00D05635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578B1E" w14:textId="3E804E0F" w:rsidR="00D05635" w:rsidRPr="00D05635" w:rsidRDefault="00D05635" w:rsidP="00D05635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  <w:t>A jogosultság megszerzésének időpontja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B3B3" w14:textId="77777777" w:rsidR="00D05635" w:rsidRPr="00D05635" w:rsidRDefault="00D05635" w:rsidP="00D05635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  <w:t>…</w:t>
            </w:r>
          </w:p>
        </w:tc>
      </w:tr>
    </w:tbl>
    <w:p w14:paraId="10D1F97B" w14:textId="77777777" w:rsidR="00AE4494" w:rsidRDefault="00AE4494" w:rsidP="00AE449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D05635" w:rsidRPr="00D05635" w14:paraId="10BB2924" w14:textId="77777777" w:rsidTr="00922122">
        <w:trPr>
          <w:jc w:val="center"/>
        </w:trPr>
        <w:tc>
          <w:tcPr>
            <w:tcW w:w="4390" w:type="dxa"/>
            <w:shd w:val="clear" w:color="auto" w:fill="92D050"/>
            <w:vAlign w:val="center"/>
          </w:tcPr>
          <w:p w14:paraId="7530F06F" w14:textId="5B1B2B9E" w:rsidR="00D05635" w:rsidRPr="00D05635" w:rsidRDefault="00D05635" w:rsidP="00922122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iCs/>
                <w:cap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helyettes </w:t>
            </w:r>
            <w:r w:rsidRPr="00D056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felelős kijelölt könyvvizsgáló szakember </w:t>
            </w:r>
            <w:r w:rsidRPr="00D05635"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4677" w:type="dxa"/>
            <w:vAlign w:val="center"/>
          </w:tcPr>
          <w:p w14:paraId="7184DA64" w14:textId="77777777" w:rsidR="00D05635" w:rsidRPr="00D05635" w:rsidRDefault="00D05635" w:rsidP="00922122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i/>
                <w:cap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  <w:t>.....</w:t>
            </w:r>
          </w:p>
        </w:tc>
      </w:tr>
      <w:tr w:rsidR="00D05635" w:rsidRPr="00D05635" w14:paraId="21173FB3" w14:textId="77777777" w:rsidTr="0092212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25F276" w14:textId="77777777" w:rsidR="00D05635" w:rsidRPr="00D05635" w:rsidRDefault="00D05635" w:rsidP="00922122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  <w:t>Kamara megnevezését, melynek a szakember a nyilvántartásában szerepel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9567" w14:textId="77777777" w:rsidR="00D05635" w:rsidRPr="00D05635" w:rsidRDefault="00D05635" w:rsidP="00922122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</w:pPr>
          </w:p>
        </w:tc>
      </w:tr>
      <w:tr w:rsidR="00D05635" w:rsidRPr="00D05635" w14:paraId="21B9EBB8" w14:textId="77777777" w:rsidTr="0092212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F3811C" w14:textId="0FC38079" w:rsidR="00D05635" w:rsidRPr="00D05635" w:rsidRDefault="00D05635" w:rsidP="00922122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  <w:t>A kamarai névjegyzékbe vételt igazoló nyilvántartási szám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2CB" w14:textId="77777777" w:rsidR="00D05635" w:rsidRPr="00D05635" w:rsidRDefault="00D05635" w:rsidP="00922122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  <w:t>…</w:t>
            </w:r>
          </w:p>
        </w:tc>
      </w:tr>
      <w:tr w:rsidR="00D05635" w:rsidRPr="00D05635" w14:paraId="23B1B11C" w14:textId="77777777" w:rsidTr="0092212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94C2FD" w14:textId="400DC810" w:rsidR="00D05635" w:rsidRPr="00D05635" w:rsidRDefault="00D05635" w:rsidP="00922122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iCs/>
                <w:sz w:val="24"/>
                <w:szCs w:val="24"/>
                <w:lang w:eastAsia="hu-HU"/>
              </w:rPr>
              <w:t>A jogosultság megszerzésének időpontja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5940" w14:textId="77777777" w:rsidR="00D05635" w:rsidRPr="00D05635" w:rsidRDefault="00D05635" w:rsidP="00922122">
            <w:pPr>
              <w:spacing w:after="0" w:line="288" w:lineRule="auto"/>
              <w:jc w:val="both"/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D05635">
              <w:rPr>
                <w:rFonts w:ascii="Times New Roman" w:eastAsia="Times" w:hAnsi="Times New Roman" w:cs="Times New Roman"/>
                <w:b/>
                <w:caps/>
                <w:sz w:val="24"/>
                <w:szCs w:val="24"/>
                <w:lang w:eastAsia="hu-HU"/>
              </w:rPr>
              <w:t>…</w:t>
            </w:r>
          </w:p>
        </w:tc>
      </w:tr>
    </w:tbl>
    <w:p w14:paraId="48941D32" w14:textId="77777777" w:rsidR="00D05635" w:rsidRPr="00C416C0" w:rsidRDefault="00D05635" w:rsidP="00AE449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5C967C" w14:textId="77777777" w:rsidR="00AE4494" w:rsidRPr="00C416C0" w:rsidRDefault="00AE4494" w:rsidP="00AE449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1505F2BC" w14:textId="77777777" w:rsidR="00AE4494" w:rsidRPr="00C416C0" w:rsidRDefault="00AE4494" w:rsidP="00AE449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AE4494" w:rsidRPr="00C416C0" w14:paraId="7D306593" w14:textId="77777777" w:rsidTr="00922122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C80D" w14:textId="77777777" w:rsidR="00AE4494" w:rsidRPr="00C416C0" w:rsidRDefault="00AE4494" w:rsidP="00922122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4B5A3D9" w14:textId="77777777" w:rsidR="00AE4494" w:rsidRDefault="00AE4494" w:rsidP="00AE449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75BA7F5" w14:textId="77777777" w:rsidR="00AE4494" w:rsidRDefault="00AE4494" w:rsidP="00AE449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1641284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C58F584" w14:textId="6C940367" w:rsidR="004648AA" w:rsidRDefault="004648A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sectPr w:rsidR="004648AA" w:rsidSect="00690E4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E9EFB" w14:textId="77777777" w:rsidR="005A548E" w:rsidRDefault="005A548E" w:rsidP="00690E43">
      <w:pPr>
        <w:spacing w:after="0" w:line="240" w:lineRule="auto"/>
      </w:pPr>
      <w:r>
        <w:separator/>
      </w:r>
    </w:p>
  </w:endnote>
  <w:endnote w:type="continuationSeparator" w:id="0">
    <w:p w14:paraId="101DD441" w14:textId="77777777" w:rsidR="005A548E" w:rsidRDefault="005A548E" w:rsidP="0069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35363C92" w14:textId="0EF169FA" w:rsidR="00690E43" w:rsidRPr="00690E43" w:rsidRDefault="00690E43" w:rsidP="00690E43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50383" w14:textId="77777777" w:rsidR="005A548E" w:rsidRDefault="005A548E" w:rsidP="00690E43">
      <w:pPr>
        <w:spacing w:after="0" w:line="240" w:lineRule="auto"/>
      </w:pPr>
      <w:r>
        <w:separator/>
      </w:r>
    </w:p>
  </w:footnote>
  <w:footnote w:type="continuationSeparator" w:id="0">
    <w:p w14:paraId="4E3F62F5" w14:textId="77777777" w:rsidR="005A548E" w:rsidRDefault="005A548E" w:rsidP="00690E43">
      <w:pPr>
        <w:spacing w:after="0" w:line="240" w:lineRule="auto"/>
      </w:pPr>
      <w:r>
        <w:continuationSeparator/>
      </w:r>
    </w:p>
  </w:footnote>
  <w:footnote w:id="1">
    <w:p w14:paraId="6BCF8DBC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147D5BC3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26D39" w14:textId="14D447E8" w:rsidR="00690E43" w:rsidRDefault="00690E43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ED743F5" wp14:editId="1ED0F646">
          <wp:simplePos x="0" y="0"/>
          <wp:positionH relativeFrom="margin">
            <wp:align>center</wp:align>
          </wp:positionH>
          <wp:positionV relativeFrom="paragraph">
            <wp:posOffset>-236855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B056FC9"/>
    <w:multiLevelType w:val="hybridMultilevel"/>
    <w:tmpl w:val="943C3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42864668"/>
    <w:multiLevelType w:val="hybridMultilevel"/>
    <w:tmpl w:val="B7C47A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7" w15:restartNumberingAfterBreak="0">
    <w:nsid w:val="59085E32"/>
    <w:multiLevelType w:val="hybridMultilevel"/>
    <w:tmpl w:val="E68AD6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652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B7629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8485637">
    <w:abstractNumId w:val="8"/>
  </w:num>
  <w:num w:numId="2" w16cid:durableId="655376285">
    <w:abstractNumId w:val="1"/>
  </w:num>
  <w:num w:numId="3" w16cid:durableId="1887832061">
    <w:abstractNumId w:val="10"/>
  </w:num>
  <w:num w:numId="4" w16cid:durableId="809246986">
    <w:abstractNumId w:val="0"/>
  </w:num>
  <w:num w:numId="5" w16cid:durableId="1113942375">
    <w:abstractNumId w:val="4"/>
  </w:num>
  <w:num w:numId="6" w16cid:durableId="2055544465">
    <w:abstractNumId w:val="2"/>
  </w:num>
  <w:num w:numId="7" w16cid:durableId="1579554069">
    <w:abstractNumId w:val="6"/>
  </w:num>
  <w:num w:numId="8" w16cid:durableId="261567886">
    <w:abstractNumId w:val="9"/>
  </w:num>
  <w:num w:numId="9" w16cid:durableId="1948612293">
    <w:abstractNumId w:val="3"/>
  </w:num>
  <w:num w:numId="10" w16cid:durableId="2126728902">
    <w:abstractNumId w:val="5"/>
  </w:num>
  <w:num w:numId="11" w16cid:durableId="1071345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43"/>
    <w:rsid w:val="00006B0F"/>
    <w:rsid w:val="00010570"/>
    <w:rsid w:val="00026890"/>
    <w:rsid w:val="00033599"/>
    <w:rsid w:val="00065808"/>
    <w:rsid w:val="000951CB"/>
    <w:rsid w:val="000A6F87"/>
    <w:rsid w:val="000B08A9"/>
    <w:rsid w:val="000B5261"/>
    <w:rsid w:val="000E0E61"/>
    <w:rsid w:val="000F3C23"/>
    <w:rsid w:val="00100B7A"/>
    <w:rsid w:val="00152308"/>
    <w:rsid w:val="00170A7C"/>
    <w:rsid w:val="001760A8"/>
    <w:rsid w:val="001821C9"/>
    <w:rsid w:val="001B408B"/>
    <w:rsid w:val="001F3D70"/>
    <w:rsid w:val="002057BF"/>
    <w:rsid w:val="0022075A"/>
    <w:rsid w:val="0025694C"/>
    <w:rsid w:val="00277868"/>
    <w:rsid w:val="00284306"/>
    <w:rsid w:val="002A2EF6"/>
    <w:rsid w:val="002B76AB"/>
    <w:rsid w:val="002D44BA"/>
    <w:rsid w:val="002D50ED"/>
    <w:rsid w:val="002E194D"/>
    <w:rsid w:val="002E488E"/>
    <w:rsid w:val="00311FA7"/>
    <w:rsid w:val="00334DD7"/>
    <w:rsid w:val="00335C5F"/>
    <w:rsid w:val="00351D18"/>
    <w:rsid w:val="00372D25"/>
    <w:rsid w:val="003B3FE1"/>
    <w:rsid w:val="003C66F2"/>
    <w:rsid w:val="0044012F"/>
    <w:rsid w:val="00444C52"/>
    <w:rsid w:val="00444E59"/>
    <w:rsid w:val="004648AA"/>
    <w:rsid w:val="004723B9"/>
    <w:rsid w:val="00492979"/>
    <w:rsid w:val="004A445F"/>
    <w:rsid w:val="004B2724"/>
    <w:rsid w:val="004C2B3C"/>
    <w:rsid w:val="004D28CC"/>
    <w:rsid w:val="004F3994"/>
    <w:rsid w:val="00515D61"/>
    <w:rsid w:val="00534819"/>
    <w:rsid w:val="00555CC9"/>
    <w:rsid w:val="005959D2"/>
    <w:rsid w:val="005A548E"/>
    <w:rsid w:val="005A7CF8"/>
    <w:rsid w:val="005B0D72"/>
    <w:rsid w:val="005B19D3"/>
    <w:rsid w:val="005F2866"/>
    <w:rsid w:val="005F4A7A"/>
    <w:rsid w:val="00607FEF"/>
    <w:rsid w:val="00616B25"/>
    <w:rsid w:val="00675741"/>
    <w:rsid w:val="00684578"/>
    <w:rsid w:val="00690E43"/>
    <w:rsid w:val="006A3FC0"/>
    <w:rsid w:val="006D6449"/>
    <w:rsid w:val="006F2E42"/>
    <w:rsid w:val="00700FF1"/>
    <w:rsid w:val="0073219F"/>
    <w:rsid w:val="00732BA8"/>
    <w:rsid w:val="007367B4"/>
    <w:rsid w:val="007467F6"/>
    <w:rsid w:val="00772566"/>
    <w:rsid w:val="007937BD"/>
    <w:rsid w:val="007D1739"/>
    <w:rsid w:val="007D1F81"/>
    <w:rsid w:val="007D228F"/>
    <w:rsid w:val="0080557C"/>
    <w:rsid w:val="00827E19"/>
    <w:rsid w:val="0085001F"/>
    <w:rsid w:val="00884BFD"/>
    <w:rsid w:val="008D09FA"/>
    <w:rsid w:val="00904C00"/>
    <w:rsid w:val="00905694"/>
    <w:rsid w:val="00907758"/>
    <w:rsid w:val="00911B06"/>
    <w:rsid w:val="0094034B"/>
    <w:rsid w:val="009927AC"/>
    <w:rsid w:val="009A2AE7"/>
    <w:rsid w:val="009B0ABC"/>
    <w:rsid w:val="009D418F"/>
    <w:rsid w:val="009D6759"/>
    <w:rsid w:val="009E404D"/>
    <w:rsid w:val="00A10ADA"/>
    <w:rsid w:val="00A11869"/>
    <w:rsid w:val="00A575D3"/>
    <w:rsid w:val="00AB1D46"/>
    <w:rsid w:val="00AB2DF4"/>
    <w:rsid w:val="00AC0B98"/>
    <w:rsid w:val="00AC7281"/>
    <w:rsid w:val="00AE4494"/>
    <w:rsid w:val="00B01042"/>
    <w:rsid w:val="00B821A4"/>
    <w:rsid w:val="00B83C69"/>
    <w:rsid w:val="00BA0E40"/>
    <w:rsid w:val="00BB52B8"/>
    <w:rsid w:val="00BC6262"/>
    <w:rsid w:val="00BC694E"/>
    <w:rsid w:val="00BC7AE0"/>
    <w:rsid w:val="00BE5722"/>
    <w:rsid w:val="00C27FD6"/>
    <w:rsid w:val="00C30D4F"/>
    <w:rsid w:val="00C35C3D"/>
    <w:rsid w:val="00C675D2"/>
    <w:rsid w:val="00C67DC5"/>
    <w:rsid w:val="00C71064"/>
    <w:rsid w:val="00C7607F"/>
    <w:rsid w:val="00CA050D"/>
    <w:rsid w:val="00D05635"/>
    <w:rsid w:val="00D05D01"/>
    <w:rsid w:val="00D1623D"/>
    <w:rsid w:val="00D437C5"/>
    <w:rsid w:val="00D57E6F"/>
    <w:rsid w:val="00D860EE"/>
    <w:rsid w:val="00DB2E99"/>
    <w:rsid w:val="00DD7FB8"/>
    <w:rsid w:val="00E157A8"/>
    <w:rsid w:val="00E24244"/>
    <w:rsid w:val="00E31CF9"/>
    <w:rsid w:val="00E371CB"/>
    <w:rsid w:val="00E518F6"/>
    <w:rsid w:val="00E64CC3"/>
    <w:rsid w:val="00E97E4E"/>
    <w:rsid w:val="00EB1B29"/>
    <w:rsid w:val="00EB3A7C"/>
    <w:rsid w:val="00F35BC5"/>
    <w:rsid w:val="00F65E2B"/>
    <w:rsid w:val="00F81F66"/>
    <w:rsid w:val="00F82CF2"/>
    <w:rsid w:val="00F91E3E"/>
    <w:rsid w:val="00F9321A"/>
    <w:rsid w:val="00F95737"/>
    <w:rsid w:val="00FB0781"/>
    <w:rsid w:val="00FB2521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967"/>
  <w15:chartTrackingRefBased/>
  <w15:docId w15:val="{1834B1F4-0EE5-49DC-B24A-C316350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0E43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690E4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690E4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690E43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69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690E43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E4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E43"/>
    <w:rPr>
      <w:rFonts w:ascii="Calibri" w:eastAsia="Calibri" w:hAnsi="Calibri" w:cs="Calibri"/>
    </w:rPr>
  </w:style>
  <w:style w:type="paragraph" w:customStyle="1" w:styleId="Doksihoz">
    <w:name w:val="Doksihoz"/>
    <w:basedOn w:val="Norml"/>
    <w:qFormat/>
    <w:rsid w:val="00907758"/>
    <w:pPr>
      <w:keepLines/>
      <w:numPr>
        <w:ilvl w:val="1"/>
        <w:numId w:val="3"/>
      </w:numPr>
      <w:tabs>
        <w:tab w:val="clear" w:pos="705"/>
        <w:tab w:val="num" w:pos="360"/>
      </w:tabs>
      <w:spacing w:before="120" w:after="120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bjegyzetszveg1">
    <w:name w:val="Lábjegyzetszöveg1"/>
    <w:basedOn w:val="Norml"/>
    <w:next w:val="Lbjegyzetszveg"/>
    <w:qFormat/>
    <w:rsid w:val="00E97E4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aliases w:val="Footnote symbol,Times 10 Point, Exposant 3 Point,Footnote Reference Number,Exposant 3 Point,BVI fnr,Voetnootverwijzing,Footnote, BVI fnr,Char3 Char1,Char Char1 Char1,Char Char3 Char1,Char1 Char1,Char Char Char Char2 Char1,16 Point"/>
    <w:basedOn w:val="Bekezdsalapbettpusa"/>
    <w:uiPriority w:val="99"/>
    <w:qFormat/>
    <w:rsid w:val="00E97E4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7E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7E4E"/>
    <w:rPr>
      <w:rFonts w:ascii="Calibri" w:eastAsia="Calibri" w:hAnsi="Calibri" w:cs="Calibr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118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1186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11869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8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869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0951CB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4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34819"/>
    <w:pPr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4A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holding.hu" TargetMode="External"/><Relationship Id="rId13" Type="http://schemas.openxmlformats.org/officeDocument/2006/relationships/hyperlink" Target="mailto:info@vacholding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ndes.rita@vacholding.h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vacholding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abo.katalin@vacholding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abo.katalin@vacholding.hu" TargetMode="External"/><Relationship Id="rId10" Type="http://schemas.openxmlformats.org/officeDocument/2006/relationships/hyperlink" Target="http://www.vacholding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c.hu" TargetMode="External"/><Relationship Id="rId14" Type="http://schemas.openxmlformats.org/officeDocument/2006/relationships/hyperlink" Target="mailto:seres.csaba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0FE5-0312-4C3B-B6BC-F7712521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4801</Words>
  <Characters>33134</Characters>
  <Application>Microsoft Office Word</Application>
  <DocSecurity>0</DocSecurity>
  <Lines>276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2024-03-12T17:27:00Z</dcterms:created>
  <dcterms:modified xsi:type="dcterms:W3CDTF">2024-03-12T17:27:00Z</dcterms:modified>
</cp:coreProperties>
</file>