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0B4" w:rsidRPr="00BE2563" w:rsidRDefault="00E900B4" w:rsidP="00E900B4">
      <w:pPr>
        <w:spacing w:line="360" w:lineRule="auto"/>
        <w:jc w:val="both"/>
      </w:pPr>
      <w:r w:rsidRPr="00BE2563">
        <w:t xml:space="preserve">sor. A </w:t>
      </w:r>
      <w:r w:rsidRPr="00BE2563">
        <w:rPr>
          <w:i/>
        </w:rPr>
        <w:t>szolgáltatások ellenértéke</w:t>
      </w:r>
      <w:r w:rsidRPr="00BE2563">
        <w:t xml:space="preserve"> bevételi jogcím teljesítése 75,3 %, időarányos. A </w:t>
      </w:r>
      <w:r w:rsidRPr="00BE2563">
        <w:rPr>
          <w:i/>
        </w:rPr>
        <w:t>továbbszámlázott szolgáltatások</w:t>
      </w:r>
      <w:r w:rsidRPr="00BE2563">
        <w:t xml:space="preserve"> esetében mind az intézményeknél, mind a Polgármesteri Hivatalnál jelentős többletteljesítés realizálódott, mely főleg a közüzemi díjak továbbszámlázásából adódott. A betervezett </w:t>
      </w:r>
      <w:r w:rsidRPr="00BE2563">
        <w:rPr>
          <w:i/>
        </w:rPr>
        <w:t>bérleti és lízingdíj</w:t>
      </w:r>
      <w:r w:rsidRPr="00BE2563">
        <w:t xml:space="preserve"> bevételek teljesítése 4 intézmény esetében elmaradt az időarányostól. A Madách Imre Gimnázium és az I. Géza Király Közgazdasági Szakközépiskola betervezett előirányzataihoz képest a</w:t>
      </w:r>
      <w:r>
        <w:t>z el</w:t>
      </w:r>
      <w:r w:rsidRPr="00BE2563">
        <w:t xml:space="preserve">maradás jelentős, melynek oka a terembérletnél jelentkező lemaradás. A Bernáth Kálmán Kereskedelmi Szakképző Iskola év végéig a tervezett bevételt teljesíteni tudja, mivel a tanfolyami oktatás céljára bérbe adott termek után november hónapban jelentős összeg fog rendelkezésükre állni. Ugyanez elmondható a Boronkay György Műszaki Középiskola és Gimnázium esetében is. A Madách Imre Művelődési Központ teljesítése 105,9 %, ennek oka, hogy az első félévben több olyan nagy rendezvényt bonyolítottak le, mely jelentős, előre pontosan nem tervezhető bevételt eredményezett (pl. Kórházi konferencia, Szociális Intézmények konferenciája, IBM vállalati nap, Munkaügyi Központ konferencia). Az </w:t>
      </w:r>
      <w:r w:rsidRPr="00BE2563">
        <w:rPr>
          <w:i/>
        </w:rPr>
        <w:t>intézményi ellátási díjak</w:t>
      </w:r>
      <w:r w:rsidRPr="00BE2563">
        <w:t xml:space="preserve"> bevételeibe a gondozottak térítési díjai, az oktatási intézmények esetében a tanulók étkezési térítése, esti tagozat esetén a tandíj, sportköri díjak tartoznak. Az időarányos teljesítéshez képest lemaradás tapasztalható a három középfokú oktatási intézménynél, mely az esti tagozat tandíjából adódik. Az esti tagozatosok a tandíjakat az első vizsgák előtt (november hónapban) fizetik meg.  Az </w:t>
      </w:r>
      <w:r w:rsidRPr="00BE2563">
        <w:rPr>
          <w:i/>
        </w:rPr>
        <w:t>egyéb saját bevételek</w:t>
      </w:r>
      <w:r w:rsidRPr="00BE2563">
        <w:t xml:space="preserve"> foglalják össze az alkalmazottak térítését, a kötbér, a bánatpénz és kártalanítás összegeit, az alkalmazottak, hallgatók kártérítését, egyéb térítést. Teljesülésére az időarányos, illetve az annál magasabb teljesítés jellemző. A Bölcsödék és Fogyatékosok Intézményénél az alkalmazottak természetbeni étkezésének térítési díja okozza a magasabb teljesítést, mely a tervezet</w:t>
      </w:r>
      <w:r>
        <w:t>t</w:t>
      </w:r>
      <w:r w:rsidRPr="00BE2563">
        <w:t xml:space="preserve">nél magasabb arányú étkezés igénybevételének köszönhető. Az Idősek Otthona és Klubja esetében a bevételi többletet a gyógyszerköltség adja, ami nehezen tervezhető, hiszen függ a betegségektől, az áraktól és az alapgyógyszer listától. A Madách Imre Gimnázium előirányzathoz képest magasabb teljesítése biztosítási kártérítésből adódik. A Boronkay György Műszaki Középiskola és Gimnázium esetében a szállásdíj értékesítéséből származó többletbevétel és az iskolát ért vihar okozta kár biztosító általi megtérítése okozza a magasabb teljesítést. A Madách Imre Művelődési Központnál a többletbevétel jelentős része hirdetés és reklámbevételből származik. A Polgármesteri Hivatalban 9.607 e Ft bevétel realizálódott ilyen jogcímen, itt kerül könyvelésre az adatszolgáltatás bevétele, dolgozók kártérítése, késedelmi kamat, behajtási engedély, tervdokumentáció vásárlása.  </w:t>
      </w:r>
      <w:r w:rsidRPr="00BE2563">
        <w:rPr>
          <w:i/>
        </w:rPr>
        <w:t>Áfa visszatérülésre</w:t>
      </w:r>
      <w:r w:rsidRPr="00BE2563">
        <w:t xml:space="preserve"> 43.092 eFt a teljesítés szeptember 30-ig. Az intézmények teljesítése 113,8 %, az előirányzatok </w:t>
      </w:r>
      <w:r w:rsidRPr="00BE2563">
        <w:lastRenderedPageBreak/>
        <w:t xml:space="preserve">rendezésére a beszámolást követően kerül sor.  A </w:t>
      </w:r>
      <w:r w:rsidRPr="00BE2563">
        <w:rPr>
          <w:i/>
        </w:rPr>
        <w:t>kiszámlázott Áfa</w:t>
      </w:r>
      <w:r w:rsidRPr="00BE2563">
        <w:t xml:space="preserve"> bevételi jogcímnél lemaradás tapasztalható, mely a Polgármesteri Hivatal teljesítésében jelenik meg a Laktanya értékesítésére betervezett összeg elmaradása következtében. A </w:t>
      </w:r>
      <w:r w:rsidRPr="00BE2563">
        <w:rPr>
          <w:i/>
        </w:rPr>
        <w:t>kamatbevételek</w:t>
      </w:r>
      <w:r w:rsidRPr="00BE2563">
        <w:t xml:space="preserve"> 96,8 %-ban realizálódtak, köszönhetően a szabad pénzeszközök számlavezetőnél történő eredményes lekötésének. A </w:t>
      </w:r>
      <w:r w:rsidRPr="00BE2563">
        <w:rPr>
          <w:i/>
        </w:rPr>
        <w:t>működési célú kölcsönök visszatérülése</w:t>
      </w:r>
      <w:r w:rsidRPr="00BE2563">
        <w:t xml:space="preserve"> soron realizálódott 3.200 eFt bevétel a Vác Város Településszolgáltatási Nonprofit Kft részére 2007. évben nyújtott kölcsön 2008. évben befolyt részlete. </w:t>
      </w:r>
      <w:r w:rsidRPr="00BE2563">
        <w:rPr>
          <w:i/>
        </w:rPr>
        <w:t>Működési célú támogatás értékű bevételként</w:t>
      </w:r>
      <w:r w:rsidRPr="00BE2563">
        <w:t xml:space="preserve"> 65.287 eFt érkezett önkormányzatunkhoz. A Kereskedelmi és Vendéglátóipari Szakiskola 1.026 eFt-ot könyvelt ilyen jogcímen, mely drogmegelőzési pályázatra a Szociális Minisztériumtól érkezett. A Boronkay György Műszaki Középiskola és Gimnázium bevétele drog prevenciós pályázaton elnyert összegből és közhasznú munkavégzésre kapott támogatásból származik. A Madách Imre Művelődési Központ bevétele a 2007. évi Váci Világi Vigalom pályázatra és a Nemzeti Kulturális Alaptól a Reneszánsz évre kapott támogatás</w:t>
      </w:r>
      <w:r>
        <w:t>ok</w:t>
      </w:r>
      <w:r w:rsidRPr="00BE2563">
        <w:t xml:space="preserve">ból áll. A Polgármesteri Hivatalnál 55.573 eFt bevétel jelentkezik ezen a jogcímen, mely a szociális és művelődési ágazat feladataira a vidéki önkormányzatoktól érkezett összegeket, a Dunakanyar Többcélú Önkormányzati Kistérségi Társulás által gyógytestnevelési, logopédiai és „mozgókönyvtári” feladatokra átutalt pénzeszközöket és egyéb államháztartási körből utalt pályázati (Virágos Vác, drog megelőzés stb.), segélyezési célokat szolgáló (otthonteremtési támogatás, közlekedési támogatás, tartásdíj megelőlegezés, kiegészítő gyermekvédelmi támogatás) bevételeket tartalmazza. A </w:t>
      </w:r>
      <w:r w:rsidRPr="00BE2563">
        <w:rPr>
          <w:i/>
        </w:rPr>
        <w:t>működési célra átvett pénzeszközök</w:t>
      </w:r>
      <w:r w:rsidRPr="00BE2563">
        <w:t xml:space="preserve"> teljesítése önkormányzati szinten 35.559 eFt, ebből 22.407 eFt az intézmények bevétele. A Jávorszky Ödön Kórház bevétele az alábbi tételekből tevődik össze: Dr. Ruzicska díj 100 eFt, Jávorszky Ödön Alapítvány 1.174 eFt, Duna Dráva Cement Kft 3.000 eFt.  A GAMESZ esetében a Nemzeti Kulturális Alaptól, a TEMPUS Közalapítványtól, a Pest Megyei Közoktatási Alapítványtól, az OKM-től eszközbeszerzésre kapott összegek jelennek meg ezen a soron. A Madách Imre Gimnázium olasz nyelv tanulásra, könyvtárfejlesztésre és a TEMPUS Közalapítványtól új idegen nyelv tanulása céljára kapott összegeket könyveli ezen a soron. Az I. Géza Király Közgazdasági Szakközépiskolához 6.557 eFt érkezett ezen a címen az alábbiak szerint: TEMPUS Közalapítvány COMENIUS pályázat 3.453 eFt, PM Szakképzési Osztály szaktanácsadói díj 1.083 eFt, OTP Bank Nyrt 750 eFt, DMRV Zrt 750 eFt, japán nyelvtanár költségére 269 eFt, versenyek lebonyolítási díja 47 eFt, Útravaló program keretében 153 eFt és magánszemélytől 52 eFt. Fenti intézmények esetében a teljesítési adatok meghaladják a módosított előirányzatot, az előirányzatok rendezésére a beszámolást követő rendeletmódosítások során kerül sor. A Bernáth Kálmán Kereskedelmi Szakképző Iskola és a </w:t>
      </w:r>
      <w:r w:rsidRPr="00BE2563">
        <w:lastRenderedPageBreak/>
        <w:t xml:space="preserve">Boronkay György Műszaki Középiskola és Gimnázium esetében a gazdálkodó szervezetektől szakképzés céljára kapott összegek az év utolsó negyedévében realizálódnak. Az </w:t>
      </w:r>
      <w:r w:rsidRPr="00BE2563">
        <w:rPr>
          <w:i/>
        </w:rPr>
        <w:t>OEP finanszírozás</w:t>
      </w:r>
      <w:r w:rsidRPr="00BE2563">
        <w:t xml:space="preserve"> a Jávorszky Önön Kórház esetében időarányosan alakult. A Szociális Szolgáltatások Háza, a Boronkay György Műszaki Középiskola és Gimnázium és a GAMESZ esetében az időarányostól eltérő teljesítések oka, hogy a 70/2008. (V.22.) sz., valamint a 89/2008. (VI.19.) sz. Képviselőtestületi határozatok alapján az Ifjúsági egészségügyi szolgálat valamint a védőnői és iskolaorvosi feladatok átszervezésre kerültek.   </w:t>
      </w:r>
    </w:p>
    <w:p w:rsidR="00E900B4" w:rsidRPr="00BE2563" w:rsidRDefault="00E900B4" w:rsidP="00E900B4">
      <w:pPr>
        <w:spacing w:line="360" w:lineRule="auto"/>
        <w:jc w:val="both"/>
        <w:rPr>
          <w:i/>
        </w:rPr>
      </w:pPr>
      <w:r w:rsidRPr="00BE2563">
        <w:t xml:space="preserve">A </w:t>
      </w:r>
      <w:r w:rsidRPr="00BE2563">
        <w:rPr>
          <w:b/>
        </w:rPr>
        <w:t>sajátos működési bevételek</w:t>
      </w:r>
      <w:r w:rsidRPr="00BE2563">
        <w:t xml:space="preserve"> teljesítése 84,8 %.</w:t>
      </w:r>
      <w:r w:rsidRPr="00BE2563">
        <w:rPr>
          <w:color w:val="FF0000"/>
        </w:rPr>
        <w:t xml:space="preserve"> </w:t>
      </w:r>
      <w:r w:rsidRPr="00BE2563">
        <w:t xml:space="preserve">A </w:t>
      </w:r>
      <w:r w:rsidRPr="00BE2563">
        <w:rPr>
          <w:i/>
        </w:rPr>
        <w:t>vállalkozók kommunális</w:t>
      </w:r>
      <w:r w:rsidRPr="00BE2563">
        <w:t xml:space="preserve"> </w:t>
      </w:r>
      <w:r w:rsidRPr="00BE2563">
        <w:rPr>
          <w:i/>
        </w:rPr>
        <w:t xml:space="preserve">adója </w:t>
      </w:r>
      <w:r w:rsidRPr="00BE2563">
        <w:t xml:space="preserve">esetében a korábbi évekhez képest az átlagos statisztikai állományi létszám emelkedett, ez okozza a túlteljesítést. A </w:t>
      </w:r>
      <w:r w:rsidRPr="00BE2563">
        <w:rPr>
          <w:i/>
        </w:rPr>
        <w:t xml:space="preserve">magánszemélyek kommunális adója és a gépjárműadó </w:t>
      </w:r>
      <w:r w:rsidRPr="00BE2563">
        <w:t xml:space="preserve">teljesítése december 31-ig el fogja érni a 100 %-ot a behajtásra tett intézkedések következtében. Bevételi csoporton belül a helyi </w:t>
      </w:r>
      <w:r w:rsidRPr="00BE2563">
        <w:rPr>
          <w:i/>
        </w:rPr>
        <w:t>iparűzési adóbevétel</w:t>
      </w:r>
      <w:r w:rsidRPr="00BE2563">
        <w:t xml:space="preserve"> 83,8 %, melynek oka, hogy az előző évet túlfizetéssel záró adózók túlfizetésük visszautalását nem kérték, így ezen összegek folyó évi adókötelezettségükbe kerültek beszámításba. Az </w:t>
      </w:r>
      <w:r w:rsidRPr="00BE2563">
        <w:rPr>
          <w:i/>
        </w:rPr>
        <w:t>egyéb bírság</w:t>
      </w:r>
      <w:r w:rsidRPr="00BE2563">
        <w:t xml:space="preserve"> teljesítése 3.010 eFt, mely az alábbi tételekből tevődik össze: környezetvédelmi bírság: 366 eFt, építésügyi bírság: 1.223 eFt, talajterhelés: 1.421 eFt, a bevételi többlet az építésügyi bírságból származik</w:t>
      </w:r>
      <w:r w:rsidRPr="00BE2563">
        <w:rPr>
          <w:i/>
        </w:rPr>
        <w:t xml:space="preserve">. </w:t>
      </w:r>
    </w:p>
    <w:p w:rsidR="00E900B4" w:rsidRPr="00BE2563" w:rsidRDefault="00E900B4" w:rsidP="00E900B4">
      <w:pPr>
        <w:spacing w:line="360" w:lineRule="auto"/>
        <w:jc w:val="both"/>
      </w:pPr>
      <w:r w:rsidRPr="00BE2563">
        <w:t xml:space="preserve">A </w:t>
      </w:r>
      <w:r w:rsidRPr="00BE2563">
        <w:rPr>
          <w:b/>
        </w:rPr>
        <w:t>felhalmozási és tőkebevételek</w:t>
      </w:r>
      <w:r w:rsidRPr="00BE2563">
        <w:t xml:space="preserve"> pénzügyi teljesítése 40,2 %,</w:t>
      </w:r>
      <w:r w:rsidRPr="00BE2563">
        <w:rPr>
          <w:color w:val="FF0000"/>
        </w:rPr>
        <w:t xml:space="preserve"> </w:t>
      </w:r>
      <w:r w:rsidRPr="00BE2563">
        <w:t xml:space="preserve">az alacsony teljesítés fő oka az, hogy a </w:t>
      </w:r>
      <w:r w:rsidRPr="00BE2563">
        <w:rPr>
          <w:i/>
        </w:rPr>
        <w:t>laktanya értékesítésre</w:t>
      </w:r>
      <w:r w:rsidRPr="00BE2563">
        <w:t xml:space="preserve"> betervezett összegre teljesítés nem realizálódott. A pályázati kiírás eddig nem vezetett eredményre, mert jelenleg nem megoldott az M2-es út és a Gombási út kapcsolata. </w:t>
      </w:r>
      <w:r w:rsidRPr="00BE2563">
        <w:rPr>
          <w:i/>
        </w:rPr>
        <w:t>Bérlakás értékesítés</w:t>
      </w:r>
      <w:r w:rsidRPr="00BE2563">
        <w:t xml:space="preserve"> jogcímen 2008. III. negyedév végéig tizenhárom vevő fizette ki a hátralévő tartozásának teljes összegét a korábbi években értékesített lakások után, így a teljesítés 138,3 %. Az </w:t>
      </w:r>
      <w:r w:rsidRPr="00BE2563">
        <w:rPr>
          <w:i/>
        </w:rPr>
        <w:t>egyéb épület, építmény, telek, termőföld értékesítési</w:t>
      </w:r>
      <w:r w:rsidRPr="00BE2563">
        <w:t xml:space="preserve"> sor bevétele 187.183 eFt, mely az időarányoshoz képest magasabb teljesítést mutat, és további értékesítések várhatók az év utolsó negyedévében. </w:t>
      </w:r>
      <w:r w:rsidRPr="00BE2563">
        <w:rPr>
          <w:i/>
        </w:rPr>
        <w:t>Tárgyi eszköz értékesítés</w:t>
      </w:r>
      <w:r>
        <w:rPr>
          <w:i/>
        </w:rPr>
        <w:t xml:space="preserve"> soron </w:t>
      </w:r>
      <w:r>
        <w:t>a</w:t>
      </w:r>
      <w:r w:rsidRPr="00BE2563">
        <w:t xml:space="preserve"> Boronkay György Műszaki Középiskola és Gimnázium használaton kívüli gépeket, a Tűzoltóság gépjárművet értékesített</w:t>
      </w:r>
      <w:r>
        <w:t>.</w:t>
      </w:r>
      <w:r w:rsidRPr="00BE2563">
        <w:t xml:space="preserve"> </w:t>
      </w:r>
      <w:r w:rsidRPr="00BE2563">
        <w:rPr>
          <w:i/>
        </w:rPr>
        <w:t>Osztalék és hozam</w:t>
      </w:r>
      <w:r w:rsidRPr="00BE2563">
        <w:t xml:space="preserve"> bevétel jogcím teljesítése 20.973 eFt. Az alacsony teljesítés oka, hogy a Tigáz Zrt-től osztalék nem érkezett az önkormányzatnak. A </w:t>
      </w:r>
      <w:r w:rsidRPr="00BE2563">
        <w:rPr>
          <w:i/>
        </w:rPr>
        <w:t>felhalmozási célú támogatás értékű bevételek</w:t>
      </w:r>
      <w:r w:rsidRPr="00BE2563">
        <w:t xml:space="preserve"> teljesítése 8.874 eFt. A Boronkay György Műszaki Középiskola és Gimnázium az Oktatási Hivatal Közép-Magyarországi Regionális Igazgatóságtól eszközbeszerzésre 3.339 eFt támogatásban részesült. Az I. Géza Király Közgazdasági Szakközépiskola pályázaton nyert 4.158 eFt-ot az Oktatási Közalapítványtól. A MIMK 280 eFt támogatást kapott a Gazdasági Minisztériumtól számítógép beszerzésre. A Tourinform Iroda 1.097 eFt-os bevétele pályázaton elnyert pénzeszköz, mely számítástechnikai eszközök és egyéb gépek beszerzésére szolgál. Önkormányzatunk az </w:t>
      </w:r>
      <w:r w:rsidRPr="00BE2563">
        <w:lastRenderedPageBreak/>
        <w:t>illegális hulladéklerakók felszámolására 3.980 eFt vissza nem térítendő támogatásban részesült, melyből 1.110 eFt a felhalmozási célú támogatás</w:t>
      </w:r>
      <w:r>
        <w:t xml:space="preserve"> értékű</w:t>
      </w:r>
      <w:r w:rsidRPr="00BE2563">
        <w:t xml:space="preserve"> bevétel. Mivel a pályázat utófinanszírozású és megvalósítása folyamatban van, ezért csak az elszámolást követően kerül az összeg folyósításra. A </w:t>
      </w:r>
      <w:r w:rsidRPr="00BE2563">
        <w:rPr>
          <w:i/>
        </w:rPr>
        <w:t>felhalmozási célra átvett pénzeszközök</w:t>
      </w:r>
      <w:r w:rsidRPr="00BE2563">
        <w:t xml:space="preserve"> önkormányzati szinten 176,6 %-ra teljesültek szeptember 30-ig. A Szociális Szolgáltatások Háza 800 eFt-ot kapott non-profit szervezettől, mely a melegvíz hálózati rendszer bővítésére nyújt fedezetet a Hajléktalan Szállón. A szakközépiskolák ezen a bevételi jogcímen a szakképzési hozzájárulásból származó bevételeiket könyvelik. A Boronkay György Műszaki Középiskola és Gimnázium és az I. Géza Közgazdasági Szakközépiskola esetében az előirányzatok rendezésére a beszámolás időpontját követően került sor. A Polgármesteri Hivatalhoz a Pest Megye Közoktatás Fejlesztési Közalapítványtól 348 eFt érkezett pályázaton elnyert összegből. </w:t>
      </w:r>
      <w:r w:rsidRPr="00BE2563">
        <w:rPr>
          <w:i/>
        </w:rPr>
        <w:t>Felhalmozási célú kölcsönök visszatérülése</w:t>
      </w:r>
      <w:r w:rsidRPr="00BE2563">
        <w:t xml:space="preserve"> jogcímen a teljesítés 6.290 eFt, mely az alábbi tételekből tevődik össze: társasházak felújítási kölcsöne: 1.207 eFt, első lakáshoz jutók: 3.178 eFt, védett értékek: 1.905 eFt. </w:t>
      </w:r>
      <w:r w:rsidRPr="00BE2563">
        <w:rPr>
          <w:i/>
        </w:rPr>
        <w:t>Állampapír értékesítése</w:t>
      </w:r>
      <w:r w:rsidRPr="00BE2563">
        <w:t xml:space="preserve"> soron a Tigáz gázközmű vagyon lejárt államkötvénye után járó összeget 2008. augusztus 12-én megkaptuk. Önkormányzatunkhoz a tulajdonában lévő 668 db DÉMÁSZ </w:t>
      </w:r>
      <w:r w:rsidRPr="00BE2563">
        <w:rPr>
          <w:i/>
        </w:rPr>
        <w:t>részvény</w:t>
      </w:r>
      <w:r w:rsidRPr="00BE2563">
        <w:t xml:space="preserve"> értékesítéséből 13.360 eFt folyt be. </w:t>
      </w:r>
    </w:p>
    <w:p w:rsidR="00E900B4" w:rsidRPr="00BE2563" w:rsidRDefault="00E900B4" w:rsidP="00E900B4">
      <w:pPr>
        <w:spacing w:line="360" w:lineRule="auto"/>
        <w:jc w:val="both"/>
      </w:pPr>
      <w:r w:rsidRPr="00BE2563">
        <w:t xml:space="preserve">Az </w:t>
      </w:r>
      <w:r w:rsidRPr="00BE2563">
        <w:rPr>
          <w:b/>
        </w:rPr>
        <w:t xml:space="preserve">önkormányzatok költségvetési támogatásai </w:t>
      </w:r>
      <w:r w:rsidRPr="00BE2563">
        <w:t xml:space="preserve">81,4 %-ra teljesültek összességében. A teljesítés a szeptember 30-ig leutalt pénzeszközöket tartalmazza. A túlteljesítésekhez kapcsolódó előirányzatok rendezésére a beszámolás időpontját követő rendeletmódosítások során kerül sor. </w:t>
      </w:r>
    </w:p>
    <w:p w:rsidR="00E900B4" w:rsidRPr="00BE2563" w:rsidRDefault="00E900B4" w:rsidP="00E900B4">
      <w:pPr>
        <w:spacing w:line="360" w:lineRule="auto"/>
        <w:jc w:val="both"/>
      </w:pPr>
      <w:r w:rsidRPr="00BE2563">
        <w:t>Az e</w:t>
      </w:r>
      <w:r w:rsidRPr="00BE2563">
        <w:rPr>
          <w:b/>
        </w:rPr>
        <w:t>lőző évi</w:t>
      </w:r>
      <w:r w:rsidRPr="00BE2563">
        <w:t xml:space="preserve"> </w:t>
      </w:r>
      <w:r w:rsidRPr="00BE2563">
        <w:rPr>
          <w:b/>
        </w:rPr>
        <w:t>pénzmaradványból</w:t>
      </w:r>
      <w:r w:rsidRPr="00BE2563">
        <w:t xml:space="preserve"> 1.667 eFt felhasználására az utolsó negyedévben kerül sor, mely a Bölcsödék és Fogyatékosok Intézményét és a Gazdasági Hivatalt érinti.</w:t>
      </w:r>
    </w:p>
    <w:p w:rsidR="00E900B4" w:rsidRPr="00BE2563" w:rsidRDefault="00E900B4" w:rsidP="00E900B4">
      <w:pPr>
        <w:spacing w:line="360" w:lineRule="auto"/>
        <w:jc w:val="both"/>
      </w:pPr>
    </w:p>
    <w:p w:rsidR="00E900B4" w:rsidRPr="00BE2563" w:rsidRDefault="00E900B4" w:rsidP="00E900B4">
      <w:pPr>
        <w:spacing w:line="360" w:lineRule="auto"/>
        <w:jc w:val="both"/>
      </w:pPr>
    </w:p>
    <w:p w:rsidR="00E900B4" w:rsidRPr="00BE2563" w:rsidRDefault="00E900B4" w:rsidP="00E900B4">
      <w:pPr>
        <w:spacing w:line="360" w:lineRule="auto"/>
        <w:jc w:val="both"/>
        <w:rPr>
          <w:b/>
          <w:i/>
          <w:sz w:val="28"/>
          <w:szCs w:val="28"/>
        </w:rPr>
      </w:pPr>
      <w:r w:rsidRPr="00BE2563">
        <w:rPr>
          <w:b/>
          <w:i/>
          <w:sz w:val="28"/>
          <w:szCs w:val="28"/>
        </w:rPr>
        <w:t>Működési kiadások</w:t>
      </w:r>
    </w:p>
    <w:p w:rsidR="00E900B4" w:rsidRPr="00BE2563" w:rsidRDefault="00E900B4" w:rsidP="00E900B4">
      <w:pPr>
        <w:spacing w:line="360" w:lineRule="auto"/>
        <w:ind w:firstLine="708"/>
        <w:jc w:val="both"/>
      </w:pPr>
      <w:r w:rsidRPr="00BE2563">
        <w:t>A teljesítés önkormányzati szinten 72,3 %-ot tesz ki. A költségvetés szerkezetére jellemző, hogy a működési kiadások előirányzatán belül a személyi juttatások és a járulékok előirányzata együttesen 58 %-ot, a dologi kiadások előirányzata 37 %-ot tesz ki. Fontos megemlíteni, hogy az intézmények működési kiadásain belül 163.078 eFt felújítási-felhalmozási lehetőséget biztosítunk. Az intézmények esetében összességében 74,4 % a teljesítés (2. sz., 2/a., 2/b., 2/c. sz. mellékletek), míg a Polgármesteri Hivatal működési kiadásai 64,1 %-ra teljesültek (2/d. sz. melléklet).</w:t>
      </w:r>
    </w:p>
    <w:p w:rsidR="00E900B4" w:rsidRPr="00BE2563" w:rsidRDefault="00E900B4" w:rsidP="00E900B4">
      <w:pPr>
        <w:spacing w:line="360" w:lineRule="auto"/>
        <w:jc w:val="both"/>
      </w:pPr>
      <w:r w:rsidRPr="00BE2563">
        <w:lastRenderedPageBreak/>
        <w:t xml:space="preserve">A </w:t>
      </w:r>
      <w:r w:rsidRPr="00BE2563">
        <w:rPr>
          <w:b/>
        </w:rPr>
        <w:t>Jávorszky Ödön Kórház</w:t>
      </w:r>
      <w:r w:rsidRPr="00BE2563">
        <w:t xml:space="preserve"> betervezett kiadásainak teljesülése 79 %. A személyi juttatásoknál és a munkaadókat terhelő járulékoknál az időarányostól alacsonyabb a teljesítés, mely főként az üres álláshelyek, illetve az ügyelet helyett műszakos munkarend kialakítása következtében képződött. A dologi kiadások teljesítése az időarányoshoz képest magasabb (89,5 %). A többletkiadások a gyógyszerek, szakmai anyagok beszerzésénél, a bírósági perköltségeknél jelentkez</w:t>
      </w:r>
      <w:r>
        <w:t>nek</w:t>
      </w:r>
      <w:r w:rsidRPr="00BE2563">
        <w:t xml:space="preserve">, illetve a pályázati és közbeszerzési díjak nem kerültek megtervezésre az intézménynél, de kifizetés történt. Az élelmezési kiadások alacsony teljesítése a szállítókkal, üzemeltetőkkel történt megállapodás következménye. A karbantartási kiadásoknál jelentkező megtakarítás egyik oka saját karbantartó igénybevétele. A felújítási kiadásoknál teljesítés október hónapban várható (Argenti Döme sétány világítás felújítás). A felhalmozási kiadások teljesítése számítástechnikai eszközök, mobil röntgen, betegszállító és kötöző kocsi, bútor, endoszkóp tartozékok, lélegeztető gép tartozékok beszerzését illetve röntgenbővítést foglal magában. A </w:t>
      </w:r>
      <w:r w:rsidRPr="00BE2563">
        <w:rPr>
          <w:b/>
        </w:rPr>
        <w:t>Bölcsődék és Fogyatékosok</w:t>
      </w:r>
      <w:r w:rsidRPr="00BE2563">
        <w:t xml:space="preserve"> </w:t>
      </w:r>
      <w:r w:rsidRPr="00BE2563">
        <w:rPr>
          <w:b/>
        </w:rPr>
        <w:t xml:space="preserve">Intézményénél </w:t>
      </w:r>
      <w:r w:rsidRPr="00BE2563">
        <w:t>a teljesítés összességében időarányosan alakult (74,2 %). Az élelmezési kiadások 66 %-on álnak, melynek oka, hogy a betervezett vendégétkeztetés március hónaptól megszűnt, mely alapján a nyersanyag felhasználás és ezzel kapcsolatban a bevétel is kevesebb a tervezet</w:t>
      </w:r>
      <w:r>
        <w:t>t</w:t>
      </w:r>
      <w:r w:rsidRPr="00BE2563">
        <w:t xml:space="preserve">nél. A karbantartási kiadások az időarányoshoz képest magasabb teljesítést mutatnak, mivel a karbantartási feladatok a nyári hónapokban megvalósultak és pénzügyi rendezésük a beszámoló időszakáig megtörtént. Az év hátralévő részében már csak kisebb eseti sürgős javítások várhatók.  A felhalmozási kiadásoknál a Kölcsey utcai főzőkonyhába beszerzett burgonyakoptató költsége jelenik meg. A </w:t>
      </w:r>
      <w:r w:rsidRPr="00BE2563">
        <w:rPr>
          <w:b/>
        </w:rPr>
        <w:t xml:space="preserve">Szociális Szolgáltatások Háza </w:t>
      </w:r>
      <w:r w:rsidRPr="00BE2563">
        <w:t>esetében a teljesítés elmarad az időarányostól (66,6 %). A személyi juttatások és munkaadókat terhelő járulékok teljesítését befolyásolja három dolgozó hosszantartó betegsége, illetve a betervezett jubileumi jutalom utolsó negyedévben történő kifizetése. A dologi kiadások teljesítése alacsony, közel 6 millió forinttal tér el az időarányostól. Ez főleg az élelmezési kiadásoknál jelentkezik. A szociális étkeztetésben részesülők számát az intézmény 153 fővel tervezte havonta, ezzel szemben átlagosan</w:t>
      </w:r>
      <w:r>
        <w:t xml:space="preserve"> csak</w:t>
      </w:r>
      <w:r w:rsidRPr="00BE2563">
        <w:t xml:space="preserve"> 140 fő étkezett. Az intézménynél a karbantartási kiadások az utolsó negyedévre húzódnak át. A felhalmozási kiadások teljesítése 1.312 eFt, melyet beépített szekrény beszerzésére, illetve a hajléktalan szállón a meleg víz hálózat átalakítására fordítottak. Az </w:t>
      </w:r>
      <w:smartTag w:uri="urn:schemas-microsoft-com:office:smarttags" w:element="PersonName">
        <w:r w:rsidRPr="00BE2563">
          <w:rPr>
            <w:b/>
          </w:rPr>
          <w:t>Idősek Otthona</w:t>
        </w:r>
      </w:smartTag>
      <w:r w:rsidRPr="00BE2563">
        <w:rPr>
          <w:b/>
        </w:rPr>
        <w:t xml:space="preserve"> </w:t>
      </w:r>
      <w:r w:rsidRPr="00BE2563">
        <w:t xml:space="preserve">összes kiadási teljesítése időarányos, kisebb lemaradás a dologi előirányzatoknál jelentkezik 70,5 %.  A közüzemi díjak teljesülése elmarad az időarányostól, de az intézmény jelzése szerint a gázenergia díj jelentős emelkedése miatt az előirányzat az utolsó negyedévben felhasználásra kerül. Az ellátottak pénzbeli juttatásai kiemelt előirányzaton az intézménynél 319 eFt jelenik meg pénzügyi teljesítésként, </w:t>
      </w:r>
      <w:r w:rsidRPr="00BE2563">
        <w:lastRenderedPageBreak/>
        <w:t>mely az ellátottak munkajutalma a vonatkozó jogszabályok alapján. Felhalmozásra betervezett előirányzatának felhasználása július hónapban történt meg, mozgáskorlátozottak szállítására is alkalmas gépjármű beszerzésével.  Az</w:t>
      </w:r>
      <w:r w:rsidRPr="00BE2563">
        <w:rPr>
          <w:b/>
        </w:rPr>
        <w:t xml:space="preserve"> Alsó Fokú Oktatási Intézmények Gazdasági - Műszaki Ellátó Szervezete </w:t>
      </w:r>
      <w:r w:rsidRPr="00BE2563">
        <w:t>I-III. negyedévi teljesítése összességében 72,6 %. A személyi juttatások és munkaadókat terhelő járulékok teljesítését befolyásolja a nyugdíjazások miatti bérmegtakarítás, illetve a jubileumi jutalom még ki nem fizetett része. Az Alsóvárosi Óvodacsoporton belül a Vám utcai Óvoda közüzemi díja okozza a magas teljesítést. A villamos energia költségét a FORTE Zrt-től való leválasztás után adatrögzítés hiánya miatt nem számlázták az intézmény felé. A bejelentés és egyeztetések után megtörtént a számlázás, mely 2005. június hónaptól felhasznált áramköltséget tartalmazta, ennek összege 1,6 millió forint volt, ez okozza a magas teljesítést. A Deákvári Óvoda esetében a magas közüzemi díjat az okozza, hogy a Deákvári Főúti Óvoda épületének átszervezése után a teljes közüzemi számlát az óvoda fizeti, ami az intézmény részéről nem került betervezésre.  A Kisvác-Középvárosi Óvodacsoport és az Árpád Fejedelem Általános Iskola esetében a dologi kiadások 68 %-os teljesítését az indokolja, hogy a szakmai anyagok beszerzésére a IV. negyedévben kerül sor, illetve a technikai eszközök javítását októberre tervezték. A Földváry Károly Általános Iskola magas távhő díja emeli meg az intézmény közüzemi teljesítését. A Juhász Gyula Általános Iskola és a Petőfi Sándor Általános Iskola esetében az alacsony dologi kiadások oka, hogy az intézmények beszerzéseiket a IV. negyedévben tervezik. A Bartók Béla Zeneiskola esetében a karbantartási kiadások 116,35 %-os teljesítést mutatnak</w:t>
      </w:r>
      <w:r>
        <w:t xml:space="preserve">, mivel egy nagyobb arányú javítás vált szükségessé (eresz javítás). Az előirányzatot az intézmény átcsoportosítással a novemberi rendeletmódosítás alkalmával rendezi. A Katona Lajos Könyvtár dologi kiadásai alacsony teljesítést mutatnak, mivel az intézmény a technikai eszközök javítását és beszerzéseit az utolsó negyedévben tervezi. Az intézmények felújításra, illetve felhalmozásra biztosított előirányzatai az év végéig felhasználásra kerülnek. </w:t>
      </w:r>
      <w:r w:rsidRPr="00BE2563">
        <w:t xml:space="preserve">A </w:t>
      </w:r>
      <w:r w:rsidRPr="00BE2563">
        <w:rPr>
          <w:b/>
        </w:rPr>
        <w:t xml:space="preserve">Madách Imre Gimnázium </w:t>
      </w:r>
      <w:r w:rsidRPr="00BE2563">
        <w:t xml:space="preserve">kiadásainak teljesítése 71,4 %. Az intézmény dologi kiadásai alacsony teljesítést mutatnak, elsősorban a közüzemi, illetve a karbantartási kiadások maradnak el az időarányostól. Az elektromos karbantartás, szerelés, érintésvédelmi és tűzvédelmi mérésekkel kapcsolatos munkálatok elvégzésre kerültek, de a számlák kifizetésére a beszámolást követően került sor. Felhalmozási kiadásait laptop, projektor, illetve fizikai szemléltető eszközök beszerzésére fordította. A </w:t>
      </w:r>
      <w:r w:rsidRPr="00BE2563">
        <w:rPr>
          <w:b/>
        </w:rPr>
        <w:t>Bernáth Kálmán Kereskedelmi és</w:t>
      </w:r>
      <w:r w:rsidRPr="00BE2563">
        <w:t xml:space="preserve"> </w:t>
      </w:r>
      <w:r w:rsidRPr="00BE2563">
        <w:rPr>
          <w:b/>
        </w:rPr>
        <w:t>Vendéglátóipari Szakiskola</w:t>
      </w:r>
      <w:r w:rsidRPr="00BE2563">
        <w:t xml:space="preserve"> I-III. negyedévi teljesítése összességében az időarányostól alacsonyabb (67,1 %). A személyi kiadások teljesítési adataiban még nem jelent meg az intézmény takarítása miatti létszámbővítés bérkiadása, továbbá a szeptember hótól </w:t>
      </w:r>
      <w:r w:rsidRPr="00BE2563">
        <w:lastRenderedPageBreak/>
        <w:t>nyugdíjazás miatt felmentését töltő két pedagógus helyére felvett új dolgozók foglalkoztatásával kapcsolatos bértöbblet hatása. A dologi kiadások teljesítése jóval alul marad az időarányoshoz képest, melynek oka a közüzemi díjak és karbantartási kiadások alacsony teljesítési adata. A közüzemi díjak esetében év végéig az előirányzat várhatóan felhasználásra kerül, de a karbantartásra betervezett kiadások esetében – a fenntartási anyagok és karbantartási anyagokra tervezett összeg</w:t>
      </w:r>
      <w:r>
        <w:t>ek</w:t>
      </w:r>
      <w:r w:rsidRPr="00BE2563">
        <w:t xml:space="preserve"> minimális felhasználásából adódóan – megtakarítás várható. Az intézmény tárgyévben felhalmozási kiadásra 1.200 eFt-ot tervezett nagy értékű számítástechnikai eszközök beszerzésére, mely</w:t>
      </w:r>
      <w:r>
        <w:t xml:space="preserve"> összeg</w:t>
      </w:r>
      <w:r w:rsidRPr="00BE2563">
        <w:t xml:space="preserve"> felhasználása november hónapban várható. A </w:t>
      </w:r>
      <w:r w:rsidRPr="00BE2563">
        <w:rPr>
          <w:b/>
        </w:rPr>
        <w:t>Boronkay György Műszaki Középiskola és Gimnázium</w:t>
      </w:r>
      <w:r w:rsidRPr="00BE2563">
        <w:t xml:space="preserve"> a betervezett előirányzatainak 67 %-át használta fel szeptember 30-ig. A személyi juttatások és munkaadókat terhelő járulékok teljesítése közel időarányos. A dologi kiadások összességében 62,6 %-os teljesítést mutatnak, a karbantartási kiadások haladják meg az időarányost, melynek oka, hogy a</w:t>
      </w:r>
      <w:r>
        <w:t xml:space="preserve"> betervezett</w:t>
      </w:r>
      <w:r w:rsidRPr="00BE2563">
        <w:t xml:space="preserve"> munkák nagy részt augusztus hónapban lezajlottak és pénzügyi teljesítésük is megtörtént. A közüzemi díjak esetében az áremelések miatt az előirányzat valószínűleg felhasználásra kerül az év végéig. Az élelmezési kiadások esetében megtakarításra számít az intézmény, mivel közbeszerzéssel a korábbinál jóval kedvezőbb élelem beszállítási szerződést sikerült kötni</w:t>
      </w:r>
      <w:r>
        <w:t>ük</w:t>
      </w:r>
      <w:r w:rsidRPr="00BE2563">
        <w:t>. Mindezek mellett a dolo</w:t>
      </w:r>
      <w:r>
        <w:t>gi kiadásoknál jelentkező</w:t>
      </w:r>
      <w:r w:rsidRPr="00BE2563">
        <w:t xml:space="preserve"> megtakarítás a takarékos gazdálkodásnak is köszönhető, mivel csak a feltétlenül szükséges eszközök beszerzése történ</w:t>
      </w:r>
      <w:r>
        <w:t>t</w:t>
      </w:r>
      <w:r w:rsidRPr="00BE2563">
        <w:t xml:space="preserve"> meg. A fejlesztési kiadásokból jóváhagyott összegből a tanüzemben CISCO labor és hálózatbővítés valósult meg. Az </w:t>
      </w:r>
      <w:r w:rsidRPr="00BE2563">
        <w:rPr>
          <w:b/>
        </w:rPr>
        <w:t>I. Géza Király</w:t>
      </w:r>
      <w:r w:rsidRPr="00BE2563">
        <w:t xml:space="preserve"> </w:t>
      </w:r>
      <w:r w:rsidRPr="00BE2563">
        <w:rPr>
          <w:b/>
        </w:rPr>
        <w:t>Közgazdasági Szakközépiskola</w:t>
      </w:r>
      <w:r w:rsidRPr="00BE2563">
        <w:t xml:space="preserve"> kiadásainak teljesítése 69,3 %. A személyi juttatások és a munkaadókat terhelő járulékok teljesítésénél jelentkező lemaradás indoka: tartós betegállományok, betervezett jubileumi jutalmak még nem kerültek kifizetésre. Az intézmény indoklása szerint a közüzemi díjak és az élelmezési kiadások a tanév rendjének, a konyha működési rendjének megfelelően alakultak. A tanév közben is elvégezhető karbantartási munkálatok elvégzésére</w:t>
      </w:r>
      <w:r>
        <w:t xml:space="preserve"> a IV. negyedévben kerülhet sor,</w:t>
      </w:r>
      <w:r w:rsidRPr="00BE2563">
        <w:t xml:space="preserve"> </w:t>
      </w:r>
      <w:r>
        <w:t>é</w:t>
      </w:r>
      <w:r w:rsidRPr="00BE2563">
        <w:t xml:space="preserve">v végére az előirányzat szerinti teljesítés várható. A </w:t>
      </w:r>
      <w:r w:rsidRPr="00BE2563">
        <w:rPr>
          <w:b/>
        </w:rPr>
        <w:t xml:space="preserve">Madách Imre Művelődési Központ </w:t>
      </w:r>
      <w:r w:rsidRPr="00BE2563">
        <w:t>kiadási előirányzatai 69,2 %-ra teljesültek.</w:t>
      </w:r>
      <w:r>
        <w:t xml:space="preserve"> A L</w:t>
      </w:r>
      <w:r w:rsidRPr="00BE2563">
        <w:t>evéltár dologi kiadásainak teljesítése 43,5 %, melynek oka, hogy a nagyobb volumenű munkák folyamatban vannak (vendégszoba berendezés</w:t>
      </w:r>
      <w:r>
        <w:t>e</w:t>
      </w:r>
      <w:r w:rsidRPr="00BE2563">
        <w:t>, címerablakok kivitelezése, honlap készítés, iratrestaurálás). A Madách Imre Művelődési Központ esetében a karbantartási kiadások 64 %-os teljesítésének oka, hogy az érintésvédelmi felülvizsgálat, mosdók, folyosók meszelése, laminált padlók készítése folyamatban van. A felújítási kiadások</w:t>
      </w:r>
      <w:r>
        <w:t>ra</w:t>
      </w:r>
      <w:r w:rsidRPr="00BE2563">
        <w:t xml:space="preserve"> </w:t>
      </w:r>
      <w:r>
        <w:t>rendelkezésre álló</w:t>
      </w:r>
      <w:r w:rsidRPr="00BE2563">
        <w:t xml:space="preserve"> 5.892 eFt előirányzat a kamaraterem kialakítására nyújt fedezetet, melynek pályáztatása jelenleg </w:t>
      </w:r>
      <w:r>
        <w:t>zajlik. A f</w:t>
      </w:r>
      <w:r w:rsidRPr="00BE2563">
        <w:t xml:space="preserve">elhalmozási kiadások teljesítése 460 eFt, mely 180 eFt hangtechnika és 280 eFt </w:t>
      </w:r>
      <w:r w:rsidRPr="00BE2563">
        <w:lastRenderedPageBreak/>
        <w:t xml:space="preserve">számítástechnikai eszköz beszerzést szolgálja. A </w:t>
      </w:r>
      <w:r w:rsidRPr="00BE2563">
        <w:rPr>
          <w:b/>
        </w:rPr>
        <w:t xml:space="preserve">Tourinform Idegenforgalmi Iroda </w:t>
      </w:r>
      <w:r w:rsidRPr="00BE2563">
        <w:t>esetében a teljesítés jelentősen meghaladja az időarányost (89 %). A személyi juttatások és munkaadókat terhelő járulékok</w:t>
      </w:r>
      <w:r>
        <w:t xml:space="preserve"> magas</w:t>
      </w:r>
      <w:r w:rsidRPr="00BE2563">
        <w:t xml:space="preserve"> teljesítése egyrészt a vártnál nagyobb számban jelentkező idegenvezetések megbízási díjaiból, másrészt egy elbocsátott dolgozó részére történő kifizetésből adódik. A munkaadókat terhelő járulékok esetében a magas teljesítés indoka, hogy a külügyi keretben a reprezentációt terhelő egészségügyi hozzájárulást (11 %) nem tervezték. A járulékok kifizetésre kerültek, így az összesített mutató igen nagy túllépést jelez. Az előirányzatok rendezése átcsoportosítással, illetve saját bevételből megoldható, melyre a beszámolást követően kerül sor. </w:t>
      </w:r>
      <w:r w:rsidRPr="00BE2563">
        <w:rPr>
          <w:b/>
        </w:rPr>
        <w:t>Vác Város Sportintézményeinek</w:t>
      </w:r>
      <w:r w:rsidRPr="00BE2563">
        <w:t xml:space="preserve"> kiadási előirányzata 76 %-ban került felhasználásra. A dologi kiadások összességében időarányosan teljesültek, intézményenként vizsgálva a Városi Strandnál jelentkezik magasabb teljesítés, ami közüzemi díj kifizetéséből adódik. Felhalmozási kiadások teljesítése a Városi Strand lízingdíjára kifizetett összeget tartalmazza. A </w:t>
      </w:r>
      <w:r w:rsidRPr="00BE2563">
        <w:rPr>
          <w:b/>
        </w:rPr>
        <w:t>Gazdasági Hivatal személyi</w:t>
      </w:r>
      <w:r w:rsidRPr="00BE2563">
        <w:t xml:space="preserve"> juttatásokra betervezett előirányzatából 58,5 %-ot használt fel a beszámolás időpontjáig. Az alacsony teljesítés egyrészt betöltetlen álláshelyekből, másrészt hosszú távú betegállományból adódik. A munkaadókat terhelő járulékok felhasználása arányaiban eltér a személyi juttatásoktól, ennek oka az ápolási díj után jogszabály alapján fizetendő járulék kötelezettség, az előirányzat rendezése az állami támogatás megérkezésekor havonta folyamatosan történik. A dologi kiadások teljesítése alacsony az intézménynél (51 %). A készletbeszerzések esetében további jelentős kiadások várhatóak, hiszen a 2008. IV. negyedévi irodaszer és nyomtatópatronok beszerzésére pályázat került kiírásra, a könyv, folyóiratok és egyéb információhordozók, a 2009. évi közlönyök és szakmai folyóiratok előfizetésének összege</w:t>
      </w:r>
      <w:r>
        <w:t xml:space="preserve"> pedig</w:t>
      </w:r>
      <w:r w:rsidRPr="00BE2563">
        <w:t xml:space="preserve"> az utolsó negyedévben várható. A közüzemi díjak időarányostól elmaradó teljesítése is befolyásolja a dologi kiadások alakulását, mely annak következménye, hogy a Máltai Szeretetkórháztól történő leválás miatt a gázfogyasztás mennyiségét nem lehetett pontosan felmérni a költségvetés tervezésekor. A karbantartási kiadások közül a folyamatos szerződések kifizetései az időarányosnak megfelelően alakulnak, az épületek karbantartási munkálatai folyamatosan történnek. A kazánok karbantartását szerződés szerint csak a fűtési szezonban végzik, illetve a fűtési szezont megelőzően kerül sor a fűtési rendszer átvizsgálására és a fokozott karbantartásra. A </w:t>
      </w:r>
      <w:r w:rsidRPr="00BE2563">
        <w:rPr>
          <w:b/>
        </w:rPr>
        <w:t xml:space="preserve">Tűzoltóparancsnokság </w:t>
      </w:r>
      <w:r w:rsidRPr="00BE2563">
        <w:t>személyi juttatásainak és munkaadókat terhelő járulékainak teljesítése időarányos. A dologi kiadások esetében a teljesítés 134,3 % az előirányzat rendezésére a beszámolást követően a 7. sz. rendeletmódosítás során került sor. Felújítási kiadásait ablak (480 eFt), gépjármű (1.205 eFt), épület (591 eFt) felújítására fordította. Fejlesztési kiadásai számítógép és szoftver beszerzést tartalmaznak</w:t>
      </w:r>
      <w:r w:rsidRPr="001577FE">
        <w:t xml:space="preserve">. A </w:t>
      </w:r>
      <w:r w:rsidRPr="001577FE">
        <w:rPr>
          <w:b/>
        </w:rPr>
        <w:lastRenderedPageBreak/>
        <w:t>Polgármesteri Hivatal</w:t>
      </w:r>
      <w:r w:rsidRPr="001577FE">
        <w:t xml:space="preserve"> működési kiadásainak teljesítése összességében 64,1 %. A </w:t>
      </w:r>
      <w:r w:rsidRPr="001577FE">
        <w:rPr>
          <w:b/>
        </w:rPr>
        <w:t>személyi juttatások</w:t>
      </w:r>
      <w:r>
        <w:rPr>
          <w:b/>
        </w:rPr>
        <w:t xml:space="preserve"> </w:t>
      </w:r>
      <w:r>
        <w:t>teljesülése időarányos (73,1</w:t>
      </w:r>
      <w:r w:rsidRPr="001577FE">
        <w:t xml:space="preserve"> %-ra</w:t>
      </w:r>
      <w:r>
        <w:t xml:space="preserve">). </w:t>
      </w:r>
      <w:r w:rsidRPr="001577FE">
        <w:t xml:space="preserve">A </w:t>
      </w:r>
      <w:r w:rsidRPr="001577FE">
        <w:rPr>
          <w:b/>
        </w:rPr>
        <w:t>munkaadókat terhelő járulékok</w:t>
      </w:r>
      <w:r w:rsidRPr="001577FE">
        <w:t xml:space="preserve"> teljesítése eltér a személyi juttatások felhasználásától, melynek oka, hogy a természetbeni juttatásoknak nincs járulékvonzata. A </w:t>
      </w:r>
      <w:r w:rsidRPr="001577FE">
        <w:rPr>
          <w:b/>
        </w:rPr>
        <w:t>dologi</w:t>
      </w:r>
      <w:r w:rsidRPr="001577FE">
        <w:t xml:space="preserve"> kiadások összességében 57,6 %-ra teljesültek. </w:t>
      </w:r>
      <w:r w:rsidRPr="001577FE">
        <w:rPr>
          <w:i/>
        </w:rPr>
        <w:t xml:space="preserve">Igazgatás </w:t>
      </w:r>
      <w:r w:rsidRPr="001577FE">
        <w:t xml:space="preserve">szakfeladaton a lemaradást a Laktanya értékesítés elmaradásából adódó ÁFA befizetési kötelezettség alacsony teljesítése indokolja. </w:t>
      </w:r>
      <w:r w:rsidRPr="001577FE">
        <w:rPr>
          <w:i/>
        </w:rPr>
        <w:t>Környezet és</w:t>
      </w:r>
      <w:r w:rsidRPr="001577FE">
        <w:t xml:space="preserve"> </w:t>
      </w:r>
      <w:r w:rsidRPr="001577FE">
        <w:rPr>
          <w:i/>
        </w:rPr>
        <w:t>Természetvédelem</w:t>
      </w:r>
      <w:r w:rsidRPr="001577FE">
        <w:t xml:space="preserve"> feladaton a teljesítés alulmarad az időarányostól, melynek oka főként az, hogy a közönségszolgálati iroda fentartására megtervezett 3.100 eFt-ból, illetve a környezetvédelmi chartára (1.000 eFt), Naszály-hegy karbantartására (1.500 eFt) kifizetés nem történt. </w:t>
      </w:r>
      <w:r w:rsidRPr="001577FE">
        <w:rPr>
          <w:i/>
        </w:rPr>
        <w:t>Településrendezés és Értékvédelem</w:t>
      </w:r>
      <w:r w:rsidRPr="001577FE">
        <w:t xml:space="preserve"> szakfeladaton a pénzügyi teljesítés alacsony, de az előirányzatok nagy része szerződésekkel lekötött, kifizetés az utolsó negyedévben várható. </w:t>
      </w:r>
      <w:r w:rsidRPr="001577FE">
        <w:rPr>
          <w:i/>
        </w:rPr>
        <w:t xml:space="preserve">Parkfenntartás </w:t>
      </w:r>
      <w:r w:rsidRPr="001577FE">
        <w:t xml:space="preserve">feladaton a lemaradás a 45 napos fizetési határidő miatt mutatkozik, de az előirányzatok nagy része szintén lekötésre került. </w:t>
      </w:r>
      <w:r w:rsidRPr="001577FE">
        <w:rPr>
          <w:i/>
        </w:rPr>
        <w:t>Közutak-hidak</w:t>
      </w:r>
      <w:r w:rsidRPr="001577FE">
        <w:t xml:space="preserve"> soron a nagyobb karbantartási munkálatok elvégzésre kerültek, pénzügyi teljesítésre</w:t>
      </w:r>
      <w:r>
        <w:t xml:space="preserve"> a</w:t>
      </w:r>
      <w:r w:rsidRPr="001577FE">
        <w:t xml:space="preserve"> beszámolást követően kerül sor. </w:t>
      </w:r>
      <w:r w:rsidRPr="001577FE">
        <w:rPr>
          <w:i/>
        </w:rPr>
        <w:t>Város és Községgazdálkodás</w:t>
      </w:r>
      <w:r w:rsidRPr="001577FE">
        <w:t xml:space="preserve"> teljesítését befolyásolja, hogy a helyi közlekedés támogatására megtervezett összegből csak az első félév került kifizetésre. </w:t>
      </w:r>
      <w:r w:rsidRPr="001577FE">
        <w:rPr>
          <w:i/>
        </w:rPr>
        <w:t>Település vízellátás</w:t>
      </w:r>
      <w:r w:rsidRPr="001577FE">
        <w:t xml:space="preserve"> feladaton a lemaradás a 45 napos fizetési határidő miatt mutatkozik,</w:t>
      </w:r>
      <w:r>
        <w:t xml:space="preserve"> illetve</w:t>
      </w:r>
      <w:r w:rsidRPr="001577FE">
        <w:t xml:space="preserve"> a nyári vízfogyasztás számlái a IV. negyedévben kerülnek kifizetésre. </w:t>
      </w:r>
      <w:r w:rsidRPr="001577FE">
        <w:rPr>
          <w:i/>
        </w:rPr>
        <w:t>Saját vagy bérelt ingatlan hasznosítása</w:t>
      </w:r>
      <w:r w:rsidRPr="001577FE">
        <w:t xml:space="preserve"> (VHO) soron a kiadások teljesülése az előirányzathoz képest lemaradást mutat, az előirányz</w:t>
      </w:r>
      <w:r>
        <w:t>a</w:t>
      </w:r>
      <w:r w:rsidRPr="001577FE">
        <w:t>tok szerződésekkel és megrendelésekkel lekötésre került</w:t>
      </w:r>
      <w:r>
        <w:t>ek</w:t>
      </w:r>
      <w:r w:rsidRPr="001577FE">
        <w:t xml:space="preserve">. </w:t>
      </w:r>
      <w:r w:rsidRPr="001577FE">
        <w:rPr>
          <w:i/>
        </w:rPr>
        <w:t>Szennyvízelvezetés- kezelés</w:t>
      </w:r>
      <w:r w:rsidRPr="001577FE">
        <w:t xml:space="preserve"> soron</w:t>
      </w:r>
      <w:r>
        <w:t xml:space="preserve"> a zárt csapadék csatornák tisztítására megtervezett összegből a beszámolás időpontjáig csak az I. félév került kifizetésre. </w:t>
      </w:r>
      <w:r w:rsidRPr="00060822">
        <w:rPr>
          <w:i/>
        </w:rPr>
        <w:t>Településtisztaság</w:t>
      </w:r>
      <w:r>
        <w:t xml:space="preserve"> feladaton lemaradás a 45 napos fizetési határidő miatt mutatkozik. Az </w:t>
      </w:r>
      <w:r w:rsidRPr="00060822">
        <w:rPr>
          <w:i/>
        </w:rPr>
        <w:t>állategész</w:t>
      </w:r>
      <w:r>
        <w:rPr>
          <w:i/>
        </w:rPr>
        <w:t>s</w:t>
      </w:r>
      <w:r w:rsidRPr="00060822">
        <w:rPr>
          <w:i/>
        </w:rPr>
        <w:t>é</w:t>
      </w:r>
      <w:r>
        <w:rPr>
          <w:i/>
        </w:rPr>
        <w:t>g</w:t>
      </w:r>
      <w:r w:rsidRPr="00060822">
        <w:rPr>
          <w:i/>
        </w:rPr>
        <w:t>ügyi</w:t>
      </w:r>
      <w:r>
        <w:t xml:space="preserve"> </w:t>
      </w:r>
      <w:r w:rsidRPr="00060822">
        <w:t xml:space="preserve">feladatokon belül az eb oltása betervezett összeg nem került teljes egészében kifizetésre. </w:t>
      </w:r>
      <w:r w:rsidRPr="00060822">
        <w:rPr>
          <w:i/>
        </w:rPr>
        <w:t xml:space="preserve">Polgári Védelem </w:t>
      </w:r>
      <w:r w:rsidRPr="00060822">
        <w:t xml:space="preserve">feladatain belül a készletbeszerzések és szolgáltatások teljesítésénél mutatkozik lemaradás, melyek a IV. negyedévben kerülnek megvalósításra. A </w:t>
      </w:r>
      <w:r w:rsidRPr="00060822">
        <w:rPr>
          <w:i/>
        </w:rPr>
        <w:t>Polgá</w:t>
      </w:r>
      <w:r>
        <w:rPr>
          <w:i/>
        </w:rPr>
        <w:t>r</w:t>
      </w:r>
      <w:r w:rsidRPr="00060822">
        <w:rPr>
          <w:i/>
        </w:rPr>
        <w:t>mesteri Kabinet</w:t>
      </w:r>
      <w:r w:rsidRPr="00060822">
        <w:t xml:space="preserve"> esetében a lemaradás oka, hogy az önkormányzati rendezvények egy része a IV. ne</w:t>
      </w:r>
      <w:r>
        <w:t>gyedévben kerül megrendezésre.</w:t>
      </w:r>
      <w:r w:rsidRPr="00833CF0">
        <w:t xml:space="preserve"> </w:t>
      </w:r>
      <w:r w:rsidRPr="00833CF0">
        <w:rPr>
          <w:i/>
        </w:rPr>
        <w:t>Sportlétesítmények,</w:t>
      </w:r>
      <w:r w:rsidRPr="00833CF0">
        <w:t xml:space="preserve"> szövetségek soron a Stadion karbantartási feladataira kifizetések a számlázásoknak megfelelően történnek. </w:t>
      </w:r>
      <w:r w:rsidRPr="00833CF0">
        <w:rPr>
          <w:i/>
        </w:rPr>
        <w:t>Temetőfenntartás szakfeladaton</w:t>
      </w:r>
      <w:r w:rsidRPr="00833CF0">
        <w:t xml:space="preserve"> a ravatalozó hűtőjavítás és a temető belső út karbantartása, fásítás feladatokra kifizetés nem történt.  </w:t>
      </w:r>
      <w:r w:rsidRPr="00833CF0">
        <w:rPr>
          <w:b/>
        </w:rPr>
        <w:t>Pénzeszközátadások</w:t>
      </w:r>
      <w:r w:rsidRPr="00833CF0">
        <w:t xml:space="preserve"> kiemelt előirányzaton a teljesítés összességében 74,6 %. Az </w:t>
      </w:r>
      <w:r w:rsidRPr="00833CF0">
        <w:rPr>
          <w:i/>
        </w:rPr>
        <w:t>igazgatás</w:t>
      </w:r>
      <w:r w:rsidRPr="00833CF0">
        <w:t xml:space="preserve"> szakfeladaton jelentkező magasabb teljesítés az egyösszegű kifizetésekből adódik. A </w:t>
      </w:r>
      <w:r w:rsidRPr="00833CF0">
        <w:rPr>
          <w:i/>
        </w:rPr>
        <w:t>Kisebbségi Önkormányzatok</w:t>
      </w:r>
      <w:r w:rsidRPr="00833CF0">
        <w:t xml:space="preserve"> előirányzat módosítására a beszámolást követően került sor. </w:t>
      </w:r>
      <w:r w:rsidRPr="00833CF0">
        <w:rPr>
          <w:i/>
        </w:rPr>
        <w:t>Településrendezés és Értékvédelem</w:t>
      </w:r>
      <w:r w:rsidRPr="00833CF0">
        <w:t xml:space="preserve"> feladaton az Értékvédelmi pályázatokra kifizetett összegek jelennek meg. Az alacsony teljesítés az </w:t>
      </w:r>
      <w:r w:rsidRPr="00833CF0">
        <w:lastRenderedPageBreak/>
        <w:t>elszámolások hiányából adódik.</w:t>
      </w:r>
      <w:r w:rsidRPr="00BE2563">
        <w:rPr>
          <w:color w:val="FF0000"/>
        </w:rPr>
        <w:t xml:space="preserve">  </w:t>
      </w:r>
      <w:r w:rsidRPr="00833CF0">
        <w:rPr>
          <w:i/>
        </w:rPr>
        <w:t>Város és Községgazdálkodás (főmérnökség)</w:t>
      </w:r>
      <w:r w:rsidRPr="00833CF0">
        <w:t xml:space="preserve"> soron a Volánbusz Zrt. részére a helyi közlekedés normatív támogatása kerül átadásra. A leutalt összeget jogszabály alapján 8 napon belül tovább kell utalni, viszont az előirányzat módosítására csak a MÁK értesítése </w:t>
      </w:r>
      <w:r w:rsidRPr="00F6532D">
        <w:t xml:space="preserve">után kerülhet sor, ebből adódik a túlteljesítés. </w:t>
      </w:r>
      <w:r w:rsidRPr="00F6532D">
        <w:rPr>
          <w:i/>
        </w:rPr>
        <w:t>Településtisztaság feladaton</w:t>
      </w:r>
      <w:r w:rsidRPr="00F6532D">
        <w:t xml:space="preserve"> az Észak-Kelet Pest és Nógrád Megyei Regionális Hulladékgazdálkodási és Környezetvédelmi Társulásnak fizetett érdekeltségi hozzájárulás került tervezésre, a regionális hulladéklerakó építése megkezdődött, így a Társulás bekérő levele alapján a kifizetés 26.063 eFt volt. </w:t>
      </w:r>
      <w:r w:rsidRPr="00F6532D">
        <w:rPr>
          <w:i/>
        </w:rPr>
        <w:t>Állategészségügyi</w:t>
      </w:r>
      <w:r w:rsidRPr="00F6532D">
        <w:t xml:space="preserve"> feladaton a telep felújítására betervezett előirányzatból felhasználás nem történt. A </w:t>
      </w:r>
      <w:r w:rsidRPr="00F6532D">
        <w:rPr>
          <w:i/>
        </w:rPr>
        <w:t xml:space="preserve">Polgármesteri Kabinet </w:t>
      </w:r>
      <w:r w:rsidRPr="00F6532D">
        <w:t xml:space="preserve">teljesítése 95,9 %, mivel az önszerveződő egyesületek támogatásának felosztása a Váci Világi Vigalomra megtörtént. </w:t>
      </w:r>
      <w:r w:rsidRPr="00F6532D">
        <w:rPr>
          <w:i/>
        </w:rPr>
        <w:t xml:space="preserve">Sportlétesítmények szövetségek </w:t>
      </w:r>
      <w:r w:rsidRPr="00F6532D">
        <w:t xml:space="preserve">teljesítése az időarányosnál magasabb, mert a pályázati alap felosztása megtörtént és ezzel együtt a pénzügyi teljesítés is megvalósult. </w:t>
      </w:r>
      <w:r w:rsidRPr="00F6532D">
        <w:rPr>
          <w:i/>
        </w:rPr>
        <w:t xml:space="preserve">  </w:t>
      </w:r>
      <w:r w:rsidRPr="00F6532D">
        <w:rPr>
          <w:b/>
        </w:rPr>
        <w:t>Speciális támogatásként</w:t>
      </w:r>
      <w:r w:rsidRPr="00F6532D">
        <w:t xml:space="preserve"> a közcélú foglalkoztatás jelenik meg, fedezetet az erre a célra elkülönített céltartalék biztosít. A </w:t>
      </w:r>
      <w:r w:rsidRPr="00F6532D">
        <w:rPr>
          <w:b/>
        </w:rPr>
        <w:t>kölcsönök</w:t>
      </w:r>
      <w:r w:rsidRPr="00F6532D">
        <w:t xml:space="preserve"> kiemelt előirányzat teljesítése a megkötött kölcsönszerződésekben foglaltak alapján történt.</w:t>
      </w:r>
      <w:r w:rsidRPr="00BE2563">
        <w:t xml:space="preserve">                           </w:t>
      </w:r>
    </w:p>
    <w:p w:rsidR="00E900B4" w:rsidRDefault="00E900B4" w:rsidP="00E900B4">
      <w:pPr>
        <w:spacing w:line="360" w:lineRule="auto"/>
        <w:jc w:val="both"/>
      </w:pPr>
    </w:p>
    <w:p w:rsidR="00E900B4" w:rsidRPr="00BE2563" w:rsidRDefault="00E900B4" w:rsidP="00E900B4">
      <w:pPr>
        <w:spacing w:line="360" w:lineRule="auto"/>
        <w:jc w:val="both"/>
      </w:pPr>
    </w:p>
    <w:p w:rsidR="00E900B4" w:rsidRPr="00BE2563" w:rsidRDefault="00E900B4" w:rsidP="00E900B4">
      <w:pPr>
        <w:spacing w:line="360" w:lineRule="auto"/>
        <w:jc w:val="both"/>
        <w:rPr>
          <w:b/>
          <w:i/>
          <w:sz w:val="28"/>
          <w:szCs w:val="28"/>
        </w:rPr>
      </w:pPr>
      <w:r w:rsidRPr="00BE2563">
        <w:rPr>
          <w:b/>
          <w:i/>
          <w:sz w:val="28"/>
          <w:szCs w:val="28"/>
        </w:rPr>
        <w:t>Felújítási kiadások</w:t>
      </w:r>
    </w:p>
    <w:p w:rsidR="00E900B4" w:rsidRPr="00BE2563" w:rsidRDefault="00E900B4" w:rsidP="00E900B4">
      <w:pPr>
        <w:spacing w:line="360" w:lineRule="auto"/>
        <w:jc w:val="both"/>
      </w:pPr>
      <w:r w:rsidRPr="00BE2563">
        <w:t xml:space="preserve">A felújítási kiadások előirányzata a III. negyedévben 79.824 eFt-tal nőtt az eredetileg tervezetthez képest, így a módosított előirányzat a harmadik negyedév végén 266.616 eFt. A 2007. évről áthúzódó feladatok kifizetésének fedezetét képezte az előző évi pénzmaradványból történt 22.047 eFt előirányzat növekedés. Szabad pénzmaradványból 43.000 eFt-tal, központosított állami támogatásból 7.000 eFt-tal, a pályázatok előkészítési munkái céltartalékból 387 eFt-tal, a 2007. évi választókörzeti céltartalékból 450 eFt-tal, pályázati céltartalékból történő átcsoportosítások során 6.469 eFt-tal, egyéb kiadások közötti átcsoportosítások miatt 3.471 eFt-tal, általános tartalékból 4.000 eFt-tal nőtt, pénzeszköz átadás miatt 7.000 eFt-tal csökkent az előirányzat. A pénzügyi teljesítés </w:t>
      </w:r>
      <w:r w:rsidRPr="00BE2563">
        <w:rPr>
          <w:b/>
        </w:rPr>
        <w:t xml:space="preserve">34,2%-os, 91.082 eFt, </w:t>
      </w:r>
      <w:r w:rsidRPr="00BE2563">
        <w:t xml:space="preserve">mely az időarányoshoz képest lemaradást mutat. Az alacsony teljesítést elsősorban a „nagy felújítások” előirányzathoz viszonyított alacsony teljesítése indokolja (Katona Lajos Könyvtár homlokzat felújítása, Március 15. tér 10. homlokzat felújítása, Mozi épületének felújítása). A Kölcsey utcai bölcsőde elektromos hálózatának felújítása kapcsán az aktualizált építész alaprajz készült el 90 eFt-ért, a számlát novemberben fizetjük. A </w:t>
      </w:r>
      <w:r w:rsidRPr="00BE2563">
        <w:rPr>
          <w:b/>
        </w:rPr>
        <w:t>Rákóczi tér 20.</w:t>
      </w:r>
      <w:r w:rsidRPr="00BE2563">
        <w:t xml:space="preserve"> számú épület (Hajléktalan szálló) tetőfelújítása befejeződött, a munka kifizetése megtörtént </w:t>
      </w:r>
      <w:r w:rsidRPr="00BE2563">
        <w:lastRenderedPageBreak/>
        <w:t xml:space="preserve">(2.000 eFt). Az </w:t>
      </w:r>
      <w:r w:rsidRPr="00BE2563">
        <w:rPr>
          <w:b/>
        </w:rPr>
        <w:t>Árpád Fejedelem Általános Iskola</w:t>
      </w:r>
      <w:r w:rsidRPr="00BE2563">
        <w:t xml:space="preserve"> felújításához kapcsolódóan rehabilitációs szakértői díjra 84 eFt-ot, a személyfelvonó építési engedélykérelméhez az alkalmassági nyilatkozatra 17 eFt-ot fizettünk ki. Elkészült a </w:t>
      </w:r>
      <w:r w:rsidRPr="00BE2563">
        <w:rPr>
          <w:b/>
        </w:rPr>
        <w:t>Bartók Béla Zeneiskola</w:t>
      </w:r>
      <w:r w:rsidRPr="00BE2563">
        <w:t xml:space="preserve"> akadálymentesítése, a számla kifizetése megtörtént (6.421 eFt). A Dr. Csányi krt-i óvoda sürgős felújítási munkáinak keretében elvégezték a nyílászárók szigetelését (708 eFt) és mázolását (258 eFt), a számlák fizetési határideje október hó vége. Felújították a </w:t>
      </w:r>
      <w:r w:rsidRPr="00BE2563">
        <w:rPr>
          <w:b/>
        </w:rPr>
        <w:t>Juhász Gyula Általános Iskola</w:t>
      </w:r>
      <w:r w:rsidRPr="00BE2563">
        <w:t xml:space="preserve"> „B” épület emeleti vizesblokkját, a pénzügyi teljesítés megtörtént (5.250 eFt). A Juhász Gyula Általános Iskola </w:t>
      </w:r>
      <w:r w:rsidRPr="00BE2563">
        <w:rPr>
          <w:b/>
        </w:rPr>
        <w:t>bejárati ajtó</w:t>
      </w:r>
      <w:r w:rsidRPr="00BE2563">
        <w:t xml:space="preserve">inak cseréjét elvégezték, ennek költsége 901 eFt lesz, melyet novemberben fizetünk ki. A </w:t>
      </w:r>
      <w:r w:rsidRPr="00BE2563">
        <w:rPr>
          <w:b/>
        </w:rPr>
        <w:t>Nyár utcai óvoda</w:t>
      </w:r>
      <w:r w:rsidRPr="00BE2563">
        <w:t xml:space="preserve"> tornaszoba felújítási célra tervezett 540 eFt a pályázatírónak fizetendő díj lett volna, de a pályázatot forráshiány miatt elutasították, ezért az összeg nem kerül majd kifizetésre. A </w:t>
      </w:r>
      <w:r w:rsidRPr="00BE2563">
        <w:rPr>
          <w:b/>
        </w:rPr>
        <w:t>Petőfi Sándor Általános Iskola</w:t>
      </w:r>
      <w:r w:rsidRPr="00BE2563">
        <w:t xml:space="preserve"> felújításának építési engedélyezési tervdokumentációja elkészült (4.363 eFt), a rehabilitációs szakértői díj 84 eFt, a benyújtott pályázat megírásának díja 360 eFt volt. Megtörtént a </w:t>
      </w:r>
      <w:r w:rsidRPr="00BE2563">
        <w:rPr>
          <w:b/>
        </w:rPr>
        <w:t>Radnóti Miklós Általános Iskola</w:t>
      </w:r>
      <w:r w:rsidRPr="00BE2563">
        <w:t xml:space="preserve"> földszinti és emeleti vizesblokkjának felújítása, az összköltség 11.362 eFt volt. A tavalyi év decemberében befejezték az</w:t>
      </w:r>
      <w:r w:rsidRPr="00BE2563">
        <w:rPr>
          <w:b/>
        </w:rPr>
        <w:t xml:space="preserve"> </w:t>
      </w:r>
      <w:r w:rsidRPr="00BE2563">
        <w:t xml:space="preserve">iskola csapadékvíz elvezető rendszerének a felújítását is, melynek számláját ez év elején rendeztük (2.774 eFt). A </w:t>
      </w:r>
      <w:r w:rsidRPr="00BE2563">
        <w:rPr>
          <w:b/>
        </w:rPr>
        <w:t>Boronkay György Kollégium</w:t>
      </w:r>
      <w:r w:rsidRPr="00BE2563">
        <w:t xml:space="preserve"> épületgépészeti felújítása keretében megtörtént az ivóvíz vezeték hálózat részleges felújítása, a szerződés szerinti díjat átutaltuk (3.000 eFt). A </w:t>
      </w:r>
      <w:r w:rsidRPr="00BE2563">
        <w:rPr>
          <w:b/>
        </w:rPr>
        <w:t>Kereskedelmi Szakközépiskola</w:t>
      </w:r>
      <w:r w:rsidRPr="00BE2563">
        <w:t xml:space="preserve"> tetőfelújításának munkáira 790 eFt-ot, </w:t>
      </w:r>
      <w:r w:rsidRPr="00BE2563">
        <w:rPr>
          <w:b/>
        </w:rPr>
        <w:t>I. Géza Király Közgazdasági Szakközépiskola</w:t>
      </w:r>
      <w:r w:rsidRPr="00BE2563">
        <w:t xml:space="preserve"> tornatermének parketta felújításának munkáira eddig 7.300 eFt-ot fizettünk ki. Az </w:t>
      </w:r>
      <w:r w:rsidRPr="00BE2563">
        <w:rPr>
          <w:b/>
        </w:rPr>
        <w:t>I. Világháborús Emlékmű</w:t>
      </w:r>
      <w:r w:rsidRPr="00BE2563">
        <w:t xml:space="preserve"> újraállításának tanulmányterve elkészült, a pénzügyi teljesítés 768 eFt volt (a fennmaradó 1.800 eFt előirányzat a bronz plasztikák antikolására van biztosítva). A </w:t>
      </w:r>
      <w:r w:rsidRPr="00BE2563">
        <w:rPr>
          <w:b/>
        </w:rPr>
        <w:t>Katona Lajos</w:t>
      </w:r>
      <w:r w:rsidRPr="00BE2563">
        <w:t xml:space="preserve"> </w:t>
      </w:r>
      <w:r w:rsidRPr="00BE2563">
        <w:rPr>
          <w:b/>
        </w:rPr>
        <w:t>Könyvtár</w:t>
      </w:r>
      <w:r w:rsidRPr="00BE2563">
        <w:t xml:space="preserve"> homlokzat felújításához kapcsolódóan eddig fénymásolási díjat fizettünk (20 eFt), valamint leszállították az új nyílászárókat 10.624 eFt értékben. A könyvtár földszinti folyosójának akadálymentesítésére ebben az évben valószínűleg nem kerül sor, a munkát a homlokzat felújítással együtt végzik majd el. Elkészült a </w:t>
      </w:r>
      <w:r w:rsidRPr="00BE2563">
        <w:rPr>
          <w:b/>
        </w:rPr>
        <w:t>Madách Imre</w:t>
      </w:r>
      <w:r w:rsidRPr="00BE2563">
        <w:t xml:space="preserve"> </w:t>
      </w:r>
      <w:r w:rsidRPr="00BE2563">
        <w:rPr>
          <w:b/>
        </w:rPr>
        <w:t>Művelődési Központ</w:t>
      </w:r>
      <w:r w:rsidRPr="00BE2563">
        <w:t xml:space="preserve"> nyílászáró cseréje és a hozzá kapcsolódó szakipari munka 6.138 eFt-ért, a pénzügyi teljesítés megtörtént. Befejezték az </w:t>
      </w:r>
      <w:r w:rsidRPr="00BE2563">
        <w:rPr>
          <w:b/>
        </w:rPr>
        <w:t>Országzászlót tartó</w:t>
      </w:r>
      <w:r w:rsidRPr="00BE2563">
        <w:t xml:space="preserve"> </w:t>
      </w:r>
      <w:r w:rsidRPr="00BE2563">
        <w:rPr>
          <w:b/>
        </w:rPr>
        <w:t>építmény</w:t>
      </w:r>
      <w:r w:rsidRPr="00BE2563">
        <w:t xml:space="preserve"> restaurálását, az idei évre áthúzódó kifizetés 900 eFt volt. Elkészült a </w:t>
      </w:r>
      <w:r w:rsidRPr="00BE2563">
        <w:rPr>
          <w:b/>
        </w:rPr>
        <w:t>Sportcsarnok</w:t>
      </w:r>
      <w:r w:rsidRPr="00BE2563">
        <w:t xml:space="preserve">ban a parketta felújítása, a munka 2.600 eFt-ba került. A </w:t>
      </w:r>
      <w:r w:rsidRPr="00BE2563">
        <w:rPr>
          <w:b/>
        </w:rPr>
        <w:t>Stadion</w:t>
      </w:r>
      <w:r w:rsidRPr="00BE2563">
        <w:t xml:space="preserve"> öltözőiben, mellékhelyiségeiben nyílászárókat cseréltek 2.989 eFt értékben. A fejlesztési kiadások közül a Stadion labdafogó háló kialakítása feladatról csoportosítottuk át az előirányzatot a </w:t>
      </w:r>
      <w:r w:rsidRPr="00BE2563">
        <w:rPr>
          <w:b/>
        </w:rPr>
        <w:t xml:space="preserve">Stadion labdafogó háló felújításának </w:t>
      </w:r>
      <w:r w:rsidRPr="00BE2563">
        <w:t xml:space="preserve">céljára (1.340 eFt) mert valójában a háló felújítását végezték el. Felújították a </w:t>
      </w:r>
      <w:r w:rsidRPr="00BE2563">
        <w:rPr>
          <w:b/>
        </w:rPr>
        <w:t>városi strand „L” alakú medencéjé</w:t>
      </w:r>
      <w:r w:rsidRPr="00BE2563">
        <w:t xml:space="preserve">nek burkolatát, mely 5.964 eFt-ba került, a vízmérők cseréje pedig 233 eFt lesz. A </w:t>
      </w:r>
      <w:r w:rsidRPr="00BE2563">
        <w:lastRenderedPageBreak/>
        <w:t xml:space="preserve">szérűskerti öltözők felújítására a nyertes árajánlatot benyújtott vállalkozónak a munkát augusztus elején kellett volna elvégeznie, mely nem történt meg, így a Polgármesteri Hivatal másik vállalkozóval kötött szerződést októberben (műszaki teljesítés a negyedik negyedévben várható). Október végén megkezdődött a VSE vizesblokk felújítása. A </w:t>
      </w:r>
      <w:r w:rsidRPr="00BE2563">
        <w:rPr>
          <w:b/>
        </w:rPr>
        <w:t>Dr. Csányi krt. 45</w:t>
      </w:r>
      <w:r w:rsidRPr="00BE2563">
        <w:t xml:space="preserve">. számú épület fűtéskorszerűsítésére 1.729 eFt, a </w:t>
      </w:r>
      <w:r w:rsidRPr="00BE2563">
        <w:rPr>
          <w:b/>
        </w:rPr>
        <w:t>Dr. Csányi krt. 47</w:t>
      </w:r>
      <w:r w:rsidRPr="00BE2563">
        <w:t xml:space="preserve">. számú épület lapos tető szigetelésére 716 eFt-ot fizettünk ki. </w:t>
      </w:r>
      <w:r w:rsidRPr="00BE2563">
        <w:rPr>
          <w:b/>
        </w:rPr>
        <w:t>Területrendezés, parkosítás</w:t>
      </w:r>
      <w:r w:rsidRPr="00BE2563">
        <w:t xml:space="preserve"> jogcímén 7.029 eFt kifizetése történt játszóterek, parkok felújítására, melyek nagy része még a 2007. évi választókerületi keretekből történő kifizetések voltak. A </w:t>
      </w:r>
      <w:r w:rsidRPr="00BE2563">
        <w:rPr>
          <w:b/>
        </w:rPr>
        <w:t>Rózsakert felújítás</w:t>
      </w:r>
      <w:r w:rsidRPr="00BE2563">
        <w:t xml:space="preserve">ához kapcsolódó munkákra még kifizetés nem történt, de a szerződéseket megkötötték a felújítást végző vállalkozókkal. Játszóeszközökre és azok telepítésére 3.990 eFt-ot, a felújítási munkákra 11.657 eFt-ot, rózsafajták telepítésére 287 eFt-ot fizetünk majd ki. A </w:t>
      </w:r>
      <w:r w:rsidRPr="00BE2563">
        <w:rPr>
          <w:b/>
        </w:rPr>
        <w:t>macskaköves utak</w:t>
      </w:r>
      <w:r w:rsidRPr="00BE2563">
        <w:t xml:space="preserve"> felújítására biztosított előirányzatot a negyedév végét követően átcsoportosítottuk a dologi kiadások közé, mert az előirányzat a teljes felújításra nem, csak az utak karbantartására volt elegendő. A Pogányvári köz út és csapadékcsatorna hálózatának felújítására októberben megkötötték a szerződést. </w:t>
      </w:r>
      <w:r w:rsidRPr="00BE2563">
        <w:rPr>
          <w:b/>
        </w:rPr>
        <w:t>Önkormányzati lakások felújítására</w:t>
      </w:r>
      <w:r w:rsidRPr="00BE2563">
        <w:t xml:space="preserve"> a harmadik negyedév végéig 4.911 eFt-ot fordított az önkormányzat a felmerült igények alapján. A </w:t>
      </w:r>
      <w:r w:rsidRPr="00BE2563">
        <w:rPr>
          <w:b/>
        </w:rPr>
        <w:t xml:space="preserve">Március 15. tér 10. </w:t>
      </w:r>
      <w:r w:rsidRPr="00BE2563">
        <w:t xml:space="preserve">számú épület kiviteli terveinek aktualizálásáért 570 eFt-ot, faanyagvédelmi vizsgálathoz kapcsolódó munkáért 213 eFt-ot fizettünk. A </w:t>
      </w:r>
      <w:r w:rsidRPr="00BE2563">
        <w:rPr>
          <w:b/>
        </w:rPr>
        <w:t>Március 15. tér 13., 15., és 21</w:t>
      </w:r>
      <w:r w:rsidRPr="00BE2563">
        <w:t xml:space="preserve">. számú épületek galambvédelmének kialakítására eddig 543 eFt-ot fizettünk, további 490 eFt-ot a negyedik negyedévben utalunk át.  A </w:t>
      </w:r>
      <w:r w:rsidRPr="00BE2563">
        <w:rPr>
          <w:b/>
        </w:rPr>
        <w:t>nem lakáscélú helyiségek bérbeszámítása</w:t>
      </w:r>
      <w:r w:rsidRPr="00BE2563">
        <w:t xml:space="preserve"> soron a pénzügyi teljesítés 43 eFt volt. A volt </w:t>
      </w:r>
      <w:r w:rsidRPr="00BE2563">
        <w:rPr>
          <w:b/>
        </w:rPr>
        <w:t>mozi</w:t>
      </w:r>
      <w:r w:rsidRPr="00BE2563">
        <w:t xml:space="preserve"> épületének engedélyezési terveire 660 eFt-ot fogunk fizetni. </w:t>
      </w:r>
    </w:p>
    <w:p w:rsidR="00E900B4" w:rsidRPr="00BE2563" w:rsidRDefault="00E900B4" w:rsidP="00E900B4">
      <w:pPr>
        <w:spacing w:line="360" w:lineRule="auto"/>
        <w:jc w:val="both"/>
      </w:pPr>
      <w:r w:rsidRPr="00BE2563">
        <w:t>A tervezett felújítások nagy része elkészült, a pénzügyi teljesítések is megtörténtek. A nagyobb felújítások esetében hátráltatja a munkák elvégzését, hogy tervkészítés illetve közbeszerzési eljárás lefolytatása szükséges, így esetleg egy munka elvégzése nem csak egy költségvetési évet érint.</w:t>
      </w:r>
    </w:p>
    <w:p w:rsidR="00E900B4" w:rsidRDefault="00E900B4" w:rsidP="00E900B4">
      <w:pPr>
        <w:spacing w:line="360" w:lineRule="auto"/>
        <w:jc w:val="both"/>
        <w:rPr>
          <w:b/>
          <w:i/>
          <w:sz w:val="28"/>
          <w:szCs w:val="28"/>
        </w:rPr>
      </w:pPr>
    </w:p>
    <w:p w:rsidR="00E900B4" w:rsidRPr="00BE2563" w:rsidRDefault="00E900B4" w:rsidP="00E900B4">
      <w:pPr>
        <w:spacing w:line="360" w:lineRule="auto"/>
        <w:jc w:val="both"/>
        <w:rPr>
          <w:b/>
          <w:i/>
          <w:sz w:val="28"/>
          <w:szCs w:val="28"/>
        </w:rPr>
      </w:pPr>
    </w:p>
    <w:p w:rsidR="00E900B4" w:rsidRPr="00BE2563" w:rsidRDefault="00E900B4" w:rsidP="00E900B4">
      <w:pPr>
        <w:spacing w:line="360" w:lineRule="auto"/>
        <w:jc w:val="both"/>
        <w:rPr>
          <w:b/>
          <w:i/>
          <w:sz w:val="28"/>
          <w:szCs w:val="28"/>
        </w:rPr>
      </w:pPr>
      <w:r w:rsidRPr="00BE2563">
        <w:rPr>
          <w:b/>
          <w:i/>
          <w:sz w:val="28"/>
          <w:szCs w:val="28"/>
        </w:rPr>
        <w:t>Fejlesztési kiadások</w:t>
      </w:r>
    </w:p>
    <w:p w:rsidR="00E900B4" w:rsidRPr="00BE2563" w:rsidRDefault="00E900B4" w:rsidP="00E900B4">
      <w:pPr>
        <w:spacing w:line="360" w:lineRule="auto"/>
        <w:jc w:val="both"/>
      </w:pPr>
      <w:r w:rsidRPr="00BE2563">
        <w:t xml:space="preserve">A fejlesztési kiadások előirányzata összesen 248.915 eFt-tal nőtt, ebből legjelentősebb tétel az előző évi „kötött” pénzmaradványból történő 100.921 eFt növekedés. Szabad pénzmaradványból 28.000 eFt-tal, pályázati céltartalékból 10.436 eFt-tal, a laktanya értékesítésének előkészítése céltartalékból 21.887 eFt-tal, a pályázatok előkészítési munkái céltartalékból 9.431 eFt-tal, bevételi többletből 16.522 eFt-tal, 2007. évi választókörzeti </w:t>
      </w:r>
      <w:r w:rsidRPr="00BE2563">
        <w:lastRenderedPageBreak/>
        <w:t xml:space="preserve">céltartalékból 498 eFt-tal, központosított állami támogatásból 35.800 eFt-tal, általános tartalékból 37.300 eFt-tal nőtt, egyéb átcsoportosítások miatt 11.880 eFt-tal csökkent az előirányzat. A pénzügyi teljesítés </w:t>
      </w:r>
      <w:r w:rsidRPr="00BE2563">
        <w:rPr>
          <w:b/>
        </w:rPr>
        <w:t>61,7%-</w:t>
      </w:r>
      <w:r w:rsidRPr="00BE2563">
        <w:t xml:space="preserve">os, </w:t>
      </w:r>
      <w:r w:rsidRPr="00BE2563">
        <w:rPr>
          <w:b/>
        </w:rPr>
        <w:t>205.872 eFt</w:t>
      </w:r>
      <w:r w:rsidRPr="00BE2563">
        <w:t xml:space="preserve">. A </w:t>
      </w:r>
      <w:r w:rsidRPr="00BE2563">
        <w:rPr>
          <w:b/>
        </w:rPr>
        <w:t>Zrínyi</w:t>
      </w:r>
      <w:r w:rsidRPr="00BE2563">
        <w:t xml:space="preserve"> </w:t>
      </w:r>
      <w:r w:rsidRPr="00BE2563">
        <w:rPr>
          <w:b/>
        </w:rPr>
        <w:t>u. 9. szám alatti orvosi rendelők akadálymentesítésének</w:t>
      </w:r>
      <w:r w:rsidRPr="00BE2563">
        <w:t xml:space="preserve"> tárgyában megtörtént a szerződéskötés, a munka várhatóan 4.102 eFt-ba fog kerülni. Elkészült a </w:t>
      </w:r>
      <w:r w:rsidRPr="00BE2563">
        <w:rPr>
          <w:b/>
        </w:rPr>
        <w:t>Kórház</w:t>
      </w:r>
      <w:r w:rsidRPr="00BE2563">
        <w:t xml:space="preserve"> </w:t>
      </w:r>
      <w:r w:rsidRPr="00BE2563">
        <w:rPr>
          <w:b/>
        </w:rPr>
        <w:t>rekonstrukció IV. ütemének</w:t>
      </w:r>
      <w:r w:rsidRPr="00BE2563">
        <w:t xml:space="preserve"> építési engedélyezési terve (28.404 eFt). Megépítették a </w:t>
      </w:r>
      <w:r w:rsidRPr="00BE2563">
        <w:rPr>
          <w:b/>
        </w:rPr>
        <w:t>Kölcsey utcai bölcsődében</w:t>
      </w:r>
      <w:r w:rsidRPr="00BE2563">
        <w:t xml:space="preserve"> a bölcsődét az óvodától elválasztó kerítést, mely 986 eFt-ba került, a pénzügyi teljesítés október hónapban volt.  A </w:t>
      </w:r>
      <w:r w:rsidRPr="00BE2563">
        <w:rPr>
          <w:b/>
        </w:rPr>
        <w:t>Kölcsey utcai bölcsődébe</w:t>
      </w:r>
      <w:r w:rsidRPr="00BE2563">
        <w:t xml:space="preserve"> a harmadik negyedév végéig 1.994 eFt-ért vásárolt az önkormányzat pelenkázó asztalokat, székeket, öltözőszekrényeket, gyermekjátékokat, konyhai felszerelést. A </w:t>
      </w:r>
      <w:r w:rsidRPr="00BE2563">
        <w:rPr>
          <w:b/>
        </w:rPr>
        <w:t>Rádi u. Idősek Otthonának</w:t>
      </w:r>
      <w:r w:rsidRPr="00BE2563">
        <w:t xml:space="preserve"> akadálymentesítési munkái elkészültek, a bekerülési érték 6.898 eFt volt. A </w:t>
      </w:r>
      <w:r w:rsidRPr="00BE2563">
        <w:rPr>
          <w:b/>
        </w:rPr>
        <w:t>Szegfű utcai bölcsődébe</w:t>
      </w:r>
      <w:r w:rsidRPr="00BE2563">
        <w:t xml:space="preserve"> fektető ágyakat vásárolt az önkormányzat 357 eFt értékben. Az </w:t>
      </w:r>
      <w:r w:rsidRPr="00BE2563">
        <w:rPr>
          <w:b/>
        </w:rPr>
        <w:t>Alsóvárosi óvodák</w:t>
      </w:r>
      <w:r w:rsidRPr="00BE2563">
        <w:t xml:space="preserve"> eszközbeszerzései keretében megtörtént a Vám utcai óvodában a homokozó árnyékolása (361 eFt), melyet szeptember 30.-ig ki is fizettünk, valamint 1-1 db mosógépet (76-76 eFt) vásároltak a Kölcsey és a Vám utcai óvoda részére, maxi kerti játszóteret (216 eFt) a Kölcsey utcai óvodának, ezek kifizetése október illetve november hónapban lesz. A </w:t>
      </w:r>
      <w:r w:rsidRPr="00BE2563">
        <w:rPr>
          <w:b/>
        </w:rPr>
        <w:t>Deákvári óvodák</w:t>
      </w:r>
      <w:r w:rsidRPr="00BE2563">
        <w:t xml:space="preserve"> részére 90 db fektető ágyat vásároltunk (810 eFt), a kifizetés szintén november hónapban történik. A </w:t>
      </w:r>
      <w:r w:rsidRPr="00BE2563">
        <w:rPr>
          <w:b/>
        </w:rPr>
        <w:t>Dr.</w:t>
      </w:r>
      <w:r w:rsidRPr="00BE2563">
        <w:t xml:space="preserve"> </w:t>
      </w:r>
      <w:r w:rsidRPr="00BE2563">
        <w:rPr>
          <w:b/>
        </w:rPr>
        <w:t>Csányi krt.-i óvoda átalakítás tanulmánytervének költsége</w:t>
      </w:r>
      <w:r w:rsidRPr="00BE2563">
        <w:t xml:space="preserve"> 294 eFt lesz, a terv leadásának határideje október hónap vége. A </w:t>
      </w:r>
      <w:r w:rsidRPr="00BE2563">
        <w:rPr>
          <w:b/>
        </w:rPr>
        <w:t>Kisvác-Középvárosi óvodák</w:t>
      </w:r>
      <w:r w:rsidRPr="00BE2563">
        <w:t xml:space="preserve"> eszközbeszerzés előirányzatának terhére mosógépet vásároltunk 76 eFt-ért az Eötvös utcai óvodába (kifizetés októberben), valamint fektető ágyak beszerzése van még folyamatban. A </w:t>
      </w:r>
      <w:r w:rsidRPr="00BE2563">
        <w:rPr>
          <w:b/>
        </w:rPr>
        <w:t>Bartók Béla Zeneiskola</w:t>
      </w:r>
      <w:r w:rsidRPr="00BE2563">
        <w:t xml:space="preserve"> részére egy oboát és egy digitális zongorát vettünk, az oboa ellenértékét (500 eFt) utaltuk át szeptember 30.-ig. A </w:t>
      </w:r>
      <w:r w:rsidRPr="00BE2563">
        <w:rPr>
          <w:b/>
        </w:rPr>
        <w:t xml:space="preserve">Földváry Károly Általános Iskola </w:t>
      </w:r>
      <w:r w:rsidRPr="00BE2563">
        <w:t xml:space="preserve">részére beszerzett fűkaszáért és sövényvágóért 191 eFt-ot fizettünk. A </w:t>
      </w:r>
      <w:r w:rsidRPr="00BE2563">
        <w:rPr>
          <w:b/>
        </w:rPr>
        <w:t>GAMESZ</w:t>
      </w:r>
      <w:r w:rsidRPr="00BE2563">
        <w:t xml:space="preserve"> </w:t>
      </w:r>
      <w:r w:rsidRPr="00BE2563">
        <w:rPr>
          <w:b/>
        </w:rPr>
        <w:t>Központ</w:t>
      </w:r>
      <w:r w:rsidRPr="00BE2563">
        <w:t xml:space="preserve"> részére eddig 290 eFt-ért fagyasztóláda és hűtőszekrények, 1.401 eFt-ért számítástechnikai eszközök, 887 eFt-ért fénymásoló (számlájának fizetési határideje november hó) beszerzése történt. A </w:t>
      </w:r>
      <w:r w:rsidRPr="00BE2563">
        <w:rPr>
          <w:b/>
        </w:rPr>
        <w:t>Juhász Gyula Általános Iskola</w:t>
      </w:r>
      <w:r w:rsidRPr="00BE2563">
        <w:t xml:space="preserve"> részére televíziót, 4-4 db CD lejátszót, mini-hifi berendezést és 4 db szekrényt szereztünk be összesen 325 eFt-ért, a számlákat a negyedévet követően fizetjük ki. A </w:t>
      </w:r>
      <w:r w:rsidRPr="00BE2563">
        <w:rPr>
          <w:b/>
        </w:rPr>
        <w:t>Petőfi Sándor Általános Iskolának</w:t>
      </w:r>
      <w:r w:rsidRPr="00BE2563">
        <w:t xml:space="preserve"> eddig 2 db számítógéphez csatlakoztatható televíziót, CD lejátszókat és porszívót vettünk, a </w:t>
      </w:r>
      <w:r w:rsidRPr="00BE2563">
        <w:rPr>
          <w:b/>
        </w:rPr>
        <w:t>Radnóti Miklós</w:t>
      </w:r>
      <w:r w:rsidRPr="00BE2563">
        <w:t xml:space="preserve"> </w:t>
      </w:r>
      <w:r w:rsidRPr="00BE2563">
        <w:rPr>
          <w:b/>
        </w:rPr>
        <w:t>Általános Iskola</w:t>
      </w:r>
      <w:r w:rsidRPr="00BE2563">
        <w:t xml:space="preserve"> 10 db televíziót kapott (a számlákat októberben fizettük ki). A </w:t>
      </w:r>
      <w:r w:rsidRPr="00BE2563">
        <w:rPr>
          <w:b/>
        </w:rPr>
        <w:t>Boronkay György</w:t>
      </w:r>
      <w:r w:rsidRPr="00BE2563">
        <w:t xml:space="preserve"> </w:t>
      </w:r>
      <w:r w:rsidRPr="00BE2563">
        <w:rPr>
          <w:b/>
        </w:rPr>
        <w:t>Műszaki Középiskola és Gimnázium</w:t>
      </w:r>
      <w:r w:rsidRPr="00BE2563">
        <w:t xml:space="preserve"> október hónapban átvette a Ford Transit minibuszt, melynek vételára 8.219 eFt, az üzembe helyezés költsége 78 eFt, a pénzügyi teljesítés októberben volt. Július hónapban megkötötték a vállalkozói szerződést a </w:t>
      </w:r>
      <w:r w:rsidRPr="00BE2563">
        <w:rPr>
          <w:b/>
        </w:rPr>
        <w:t>Madách Imre Gimnázium sportudvar</w:t>
      </w:r>
      <w:r w:rsidRPr="00BE2563">
        <w:t xml:space="preserve"> kialakítására, </w:t>
      </w:r>
      <w:r w:rsidRPr="00BE2563">
        <w:lastRenderedPageBreak/>
        <w:t xml:space="preserve">a műszaki teljesítés határideje október 30. Elkészült az </w:t>
      </w:r>
      <w:r w:rsidRPr="00BE2563">
        <w:rPr>
          <w:b/>
        </w:rPr>
        <w:t>I. Géza Király</w:t>
      </w:r>
      <w:r w:rsidRPr="00BE2563">
        <w:t xml:space="preserve"> </w:t>
      </w:r>
      <w:r w:rsidRPr="00BE2563">
        <w:rPr>
          <w:b/>
        </w:rPr>
        <w:t>Közgazdasági Szakközépiskola</w:t>
      </w:r>
      <w:r w:rsidRPr="00BE2563">
        <w:t xml:space="preserve"> tornaterem szellőztető berendezése, a pénzügyi teljesítés áthúzódott a negyedik negyedévre (800 eFt).  Új telefonközpontot kapott a </w:t>
      </w:r>
      <w:r w:rsidRPr="00BE2563">
        <w:rPr>
          <w:b/>
        </w:rPr>
        <w:t>Karacs Teréz Kollégium</w:t>
      </w:r>
      <w:r w:rsidRPr="00BE2563">
        <w:t xml:space="preserve"> 269 eFt értékben, valamint folyamatban van a kollégiumi konyhai eszközbeszerzéséhez az árajánlatok bekérése. A </w:t>
      </w:r>
      <w:r w:rsidRPr="00BE2563">
        <w:rPr>
          <w:b/>
        </w:rPr>
        <w:t>Katona Lajos Könyvtár</w:t>
      </w:r>
      <w:r w:rsidRPr="00BE2563">
        <w:t xml:space="preserve"> aktiváló és deaktiváló berendezést kapott, melynek beszerzési ára 511 eFt volt. A </w:t>
      </w:r>
      <w:r w:rsidRPr="00BE2563">
        <w:rPr>
          <w:b/>
        </w:rPr>
        <w:t>Levéltár tetőterében vendégszobát</w:t>
      </w:r>
      <w:r w:rsidRPr="00BE2563">
        <w:t xml:space="preserve"> alakítottak ki, melynek költségét október végén fizetjük ki (4.298 eFt). A </w:t>
      </w:r>
      <w:r w:rsidRPr="00BE2563">
        <w:rPr>
          <w:b/>
        </w:rPr>
        <w:t>Madách Imre Művelődési Központ akadálymentes liftjének</w:t>
      </w:r>
      <w:r w:rsidRPr="00BE2563">
        <w:t xml:space="preserve"> tervezési munkáira beérkezett legelőnyösebb ajánlat 780 eFt-ról szólt a költségvetésben szereplő 500 eFt helyett, így a tervezési szerződés megkötéséhez előirányzat módosítás szükséges. A </w:t>
      </w:r>
      <w:r w:rsidRPr="00BE2563">
        <w:rPr>
          <w:b/>
        </w:rPr>
        <w:t>Madách Imre Művelődési Központ tűzjelző</w:t>
      </w:r>
      <w:r w:rsidRPr="00BE2563">
        <w:t xml:space="preserve"> </w:t>
      </w:r>
      <w:r w:rsidRPr="00BE2563">
        <w:rPr>
          <w:b/>
        </w:rPr>
        <w:t>rendszer</w:t>
      </w:r>
      <w:r w:rsidRPr="00BE2563">
        <w:t xml:space="preserve"> kiépítésének munkáira szeptember 30.-ig 3.953 eFt-ot fizettünk ki, a munka teljes költsége 7.905 eFt lesz. A </w:t>
      </w:r>
      <w:r w:rsidRPr="00BE2563">
        <w:rPr>
          <w:b/>
        </w:rPr>
        <w:t>műfüves pályán</w:t>
      </w:r>
      <w:r w:rsidRPr="00BE2563">
        <w:t xml:space="preserve"> a tavalyi évben megkezdett </w:t>
      </w:r>
      <w:r w:rsidRPr="00BE2563">
        <w:rPr>
          <w:b/>
        </w:rPr>
        <w:t>melegedő és szertár</w:t>
      </w:r>
      <w:r w:rsidRPr="00BE2563">
        <w:t xml:space="preserve"> kialakításának utolsó számláját az idei évben fizettük ki, mely 380 eFt volt. Az önkormányzat megvásárolta a padlótisztító gépet a </w:t>
      </w:r>
      <w:r w:rsidRPr="00BE2563">
        <w:rPr>
          <w:b/>
        </w:rPr>
        <w:t>Sportcsarnok</w:t>
      </w:r>
      <w:r w:rsidRPr="00BE2563">
        <w:t xml:space="preserve"> részére, melynek ára 1.950 eFt volt. Leszállították a </w:t>
      </w:r>
      <w:r w:rsidRPr="00BE2563">
        <w:rPr>
          <w:b/>
        </w:rPr>
        <w:t xml:space="preserve">Strand-uszoda </w:t>
      </w:r>
      <w:r w:rsidRPr="00BE2563">
        <w:t xml:space="preserve">számára az öltözőszekrényeket, a pénzügyi teljesítés 2.300 eFt volt. A képviselő-testület felhatalmazása alapján a DÉMÁSZ részvények értékesítésének bevételét </w:t>
      </w:r>
      <w:r w:rsidRPr="00BE2563">
        <w:rPr>
          <w:b/>
        </w:rPr>
        <w:t>államkötvény</w:t>
      </w:r>
      <w:r w:rsidRPr="00BE2563">
        <w:t xml:space="preserve"> vásárlására fordította az önkormányzat (13.357 eFt). A </w:t>
      </w:r>
      <w:r w:rsidRPr="00BE2563">
        <w:rPr>
          <w:b/>
        </w:rPr>
        <w:t>Polgármesteri Hivatal eszközbeszerzés</w:t>
      </w:r>
      <w:r w:rsidRPr="00BE2563">
        <w:t xml:space="preserve"> soron kifizetett 1.721 eFt tartalmazza a Közbeszerzési csoport részére megvásárolt fax gépet, a Vagyonhasznosítási Osztálynak és a Polgármesteri Kabinetnek beszerzett fénymásolót, az Építési Osztálynak vásárolt szintezőműszert, a Gazdasági Hivatalnak beszerzett számítógépet és az Okmányirodába beszerelt klíma berendezést. Vírusvédő programot, spamszűrőt, a Jegyzői Kabinet részére számítógépet és az Építési Osztály munkájához szükséges szoftvert fizettünk ki a harmadik negyedév végéig összesen 589 eFt értékben a </w:t>
      </w:r>
      <w:r w:rsidRPr="00BE2563">
        <w:rPr>
          <w:b/>
        </w:rPr>
        <w:t>Polgármesteri Hivatal informatikai</w:t>
      </w:r>
      <w:r w:rsidRPr="00BE2563">
        <w:t xml:space="preserve"> fejlesztésének keretében. A továbbiakban még ezt a fejlesztési sort terheli a beszerzett iktató program (590 eFt), a Költségvetési és Adóosztály részére beszerzett pénzügyi program (5.100 eFt), a program működéséhez szükséges futtató környezet licenc (2.340 eFt), számítógép alkatrészek beszerzése (104 eFt),  SQL szerver megvásárlása (1.596 eFt), memória bővítések (318 eFt), az üzembe helyezésig az üzemelés felügyelete (209 eFt). A </w:t>
      </w:r>
      <w:r w:rsidRPr="00BE2563">
        <w:rPr>
          <w:b/>
        </w:rPr>
        <w:t>Polgári Védelmi Kirendeltség</w:t>
      </w:r>
      <w:r w:rsidRPr="00BE2563">
        <w:t xml:space="preserve"> navigációs szoftvert vásárolt 157 eFt-ért, a vételár kifizetése október elején történt, a fennmaradó előirányzat terhére számítógépet vásárolnak majd. Választókerületi keretből történt a Kőhídparti játszótér elkerítése (1.000 eFt) az 1. sz. választókörzetben, </w:t>
      </w:r>
      <w:r w:rsidRPr="00BE2563">
        <w:rPr>
          <w:b/>
        </w:rPr>
        <w:t>utcabútor</w:t>
      </w:r>
      <w:r w:rsidRPr="00BE2563">
        <w:t xml:space="preserve"> beszerzés a 7. sz. választókörzetben (212 eFt). Szintén választókerületi keret terhére történt a </w:t>
      </w:r>
      <w:r w:rsidRPr="00BE2563">
        <w:rPr>
          <w:b/>
        </w:rPr>
        <w:t>Zöldfa utcai</w:t>
      </w:r>
      <w:r w:rsidRPr="00BE2563">
        <w:t xml:space="preserve"> </w:t>
      </w:r>
      <w:r w:rsidRPr="00BE2563">
        <w:rPr>
          <w:b/>
        </w:rPr>
        <w:t>pihenőpark</w:t>
      </w:r>
      <w:r w:rsidRPr="00BE2563">
        <w:t xml:space="preserve"> kialakításának tervezése és geodéziai bemérése </w:t>
      </w:r>
      <w:r w:rsidRPr="00BE2563">
        <w:lastRenderedPageBreak/>
        <w:t xml:space="preserve">(501 eFt), a </w:t>
      </w:r>
      <w:r w:rsidRPr="00BE2563">
        <w:rPr>
          <w:b/>
        </w:rPr>
        <w:t>Zöldfa utcai játszótér</w:t>
      </w:r>
      <w:r w:rsidRPr="00BE2563">
        <w:t xml:space="preserve"> (923 eFt) és az </w:t>
      </w:r>
      <w:r w:rsidRPr="00BE2563">
        <w:rPr>
          <w:b/>
        </w:rPr>
        <w:t>Istenmalmi utcai játszótér</w:t>
      </w:r>
      <w:r w:rsidRPr="00BE2563">
        <w:t xml:space="preserve"> (601 eFt) kerítés építésének befejezése a 8. sz. választókörzetben, illetve a </w:t>
      </w:r>
      <w:r w:rsidRPr="00BE2563">
        <w:rPr>
          <w:b/>
        </w:rPr>
        <w:t>Virág utcai játszótér</w:t>
      </w:r>
      <w:r w:rsidRPr="00BE2563">
        <w:t xml:space="preserve"> (398 eFt) kialakítása a 10. sz. választókörzetben, itt további 740 eFt kifizetése történt a beszámolást követően. Az </w:t>
      </w:r>
      <w:r w:rsidRPr="00BE2563">
        <w:rPr>
          <w:b/>
        </w:rPr>
        <w:t>Alsóvárosi kiemelt zöldterületi fejlesztések</w:t>
      </w:r>
      <w:r w:rsidRPr="00BE2563">
        <w:t xml:space="preserve"> keretében elkészült a Magyar utcai játszótér bővítésének terve (96 eFt), a pénzügyi teljesítés áthúzódott a következő negyedévre, a kivitelezésre vonatkozóan pedig folyamatban van az árajánlatok bekérése (a várható költség 10-12 millió Ft). Szintén e fejlesztési sor előirányzatának a terhére tervez az önkormányzat parkoló építést a Zöldfa utcában, az ajánlatkérés folyamatban van, a várható költség itt is 11.000 eFt körül lesz. A tavalyi költségvetési évről áthúzódó feladat volt a </w:t>
      </w:r>
      <w:r w:rsidRPr="00BE2563">
        <w:rPr>
          <w:b/>
        </w:rPr>
        <w:t>Vásártér tervezése</w:t>
      </w:r>
      <w:r w:rsidRPr="00BE2563">
        <w:t>, a tervekre 834 eFt-ot, a geodéziai bemérésre 348 eFt-ot utaltunk át, tulajdoni lap költsége 3 eFt volt. A 2008. évi választókerületi céltartalékban lévő keretből történt 63 m</w:t>
      </w:r>
      <w:r w:rsidRPr="00BE2563">
        <w:rPr>
          <w:vertAlign w:val="superscript"/>
        </w:rPr>
        <w:t>2</w:t>
      </w:r>
      <w:r w:rsidRPr="00BE2563">
        <w:t xml:space="preserve"> járda építése a </w:t>
      </w:r>
      <w:r w:rsidRPr="00BE2563">
        <w:rPr>
          <w:b/>
        </w:rPr>
        <w:t>Rózsa közben</w:t>
      </w:r>
      <w:r w:rsidRPr="00BE2563">
        <w:t xml:space="preserve"> (500 eFt), 242 m</w:t>
      </w:r>
      <w:r w:rsidRPr="00BE2563">
        <w:rPr>
          <w:vertAlign w:val="superscript"/>
        </w:rPr>
        <w:t>2</w:t>
      </w:r>
      <w:r w:rsidRPr="00BE2563">
        <w:t xml:space="preserve"> hiányzó járdaszakasz építése a </w:t>
      </w:r>
      <w:r w:rsidRPr="00BE2563">
        <w:rPr>
          <w:b/>
        </w:rPr>
        <w:t>Petőfi</w:t>
      </w:r>
      <w:r w:rsidRPr="00BE2563">
        <w:t xml:space="preserve"> </w:t>
      </w:r>
      <w:r w:rsidRPr="00BE2563">
        <w:rPr>
          <w:b/>
        </w:rPr>
        <w:t>utcá</w:t>
      </w:r>
      <w:r w:rsidRPr="00BE2563">
        <w:t>ban (1.710 eFt), 196 m</w:t>
      </w:r>
      <w:r w:rsidRPr="00BE2563">
        <w:rPr>
          <w:vertAlign w:val="superscript"/>
        </w:rPr>
        <w:t>2</w:t>
      </w:r>
      <w:r w:rsidRPr="00BE2563">
        <w:t xml:space="preserve"> parkoló építése a </w:t>
      </w:r>
      <w:r w:rsidRPr="00BE2563">
        <w:rPr>
          <w:b/>
        </w:rPr>
        <w:t>Rádi u. 10. szám</w:t>
      </w:r>
      <w:r w:rsidRPr="00BE2563">
        <w:t xml:space="preserve"> mögött (1.197 eFt), 2,88 m</w:t>
      </w:r>
      <w:r w:rsidRPr="00BE2563">
        <w:rPr>
          <w:vertAlign w:val="superscript"/>
        </w:rPr>
        <w:t>2</w:t>
      </w:r>
      <w:r w:rsidRPr="00BE2563">
        <w:t xml:space="preserve"> járda építése a </w:t>
      </w:r>
      <w:r w:rsidRPr="00BE2563">
        <w:rPr>
          <w:b/>
        </w:rPr>
        <w:t>Törökhegyi u. 8. sarkánál</w:t>
      </w:r>
      <w:r w:rsidRPr="00BE2563">
        <w:t xml:space="preserve"> (86 eFt) 22 m</w:t>
      </w:r>
      <w:r w:rsidRPr="00BE2563">
        <w:rPr>
          <w:vertAlign w:val="superscript"/>
        </w:rPr>
        <w:t>2</w:t>
      </w:r>
      <w:r w:rsidRPr="00BE2563">
        <w:t xml:space="preserve"> hiányzó járdaszakasz építése a </w:t>
      </w:r>
      <w:r w:rsidRPr="00BE2563">
        <w:rPr>
          <w:b/>
        </w:rPr>
        <w:t>Deákvári fasor</w:t>
      </w:r>
      <w:r w:rsidRPr="00BE2563">
        <w:t>ban (250 eFt), 405 m</w:t>
      </w:r>
      <w:r w:rsidRPr="00BE2563">
        <w:rPr>
          <w:vertAlign w:val="superscript"/>
        </w:rPr>
        <w:t xml:space="preserve">2  </w:t>
      </w:r>
      <w:r w:rsidRPr="00BE2563">
        <w:t xml:space="preserve">utat aszfaltoztak a </w:t>
      </w:r>
      <w:r w:rsidRPr="00BE2563">
        <w:rPr>
          <w:b/>
        </w:rPr>
        <w:t>Váltó és Vágány</w:t>
      </w:r>
      <w:r w:rsidRPr="00BE2563">
        <w:t xml:space="preserve"> utcákban (2.587 eFt), 138,5 m</w:t>
      </w:r>
      <w:r w:rsidRPr="00BE2563">
        <w:rPr>
          <w:vertAlign w:val="superscript"/>
        </w:rPr>
        <w:t>2</w:t>
      </w:r>
      <w:r w:rsidRPr="00BE2563">
        <w:t xml:space="preserve"> parkoló épült a </w:t>
      </w:r>
      <w:r w:rsidRPr="00BE2563">
        <w:rPr>
          <w:b/>
        </w:rPr>
        <w:t>Deákvári főtéren és a Negyvennyolcasok útján</w:t>
      </w:r>
      <w:r w:rsidRPr="00BE2563">
        <w:t xml:space="preserve"> (1.699 eFt), 117,6 m</w:t>
      </w:r>
      <w:r w:rsidRPr="00BE2563">
        <w:rPr>
          <w:vertAlign w:val="superscript"/>
        </w:rPr>
        <w:t>2</w:t>
      </w:r>
      <w:r w:rsidRPr="00BE2563">
        <w:t xml:space="preserve"> járda épült az </w:t>
      </w:r>
      <w:r w:rsidRPr="00BE2563">
        <w:rPr>
          <w:b/>
        </w:rPr>
        <w:t>Arany János utca</w:t>
      </w:r>
      <w:r w:rsidRPr="00BE2563">
        <w:t xml:space="preserve"> és a temető lépcső között, valamint a </w:t>
      </w:r>
      <w:r w:rsidRPr="00BE2563">
        <w:rPr>
          <w:b/>
        </w:rPr>
        <w:t>Negyvennyolcasok útján</w:t>
      </w:r>
      <w:r w:rsidRPr="00BE2563">
        <w:t xml:space="preserve"> (1.093 eFt), 186 m</w:t>
      </w:r>
      <w:r w:rsidRPr="00BE2563">
        <w:rPr>
          <w:vertAlign w:val="superscript"/>
        </w:rPr>
        <w:t>2</w:t>
      </w:r>
      <w:r w:rsidRPr="00BE2563">
        <w:t xml:space="preserve"> útszakasz aszfaltozása a </w:t>
      </w:r>
      <w:r w:rsidRPr="00BE2563">
        <w:rPr>
          <w:b/>
        </w:rPr>
        <w:t>Csillag utcában</w:t>
      </w:r>
      <w:r w:rsidRPr="00BE2563">
        <w:t xml:space="preserve"> (1.577 eFt) és 318 m</w:t>
      </w:r>
      <w:r w:rsidRPr="00BE2563">
        <w:rPr>
          <w:vertAlign w:val="superscript"/>
        </w:rPr>
        <w:t>2</w:t>
      </w:r>
      <w:r w:rsidRPr="00BE2563">
        <w:t xml:space="preserve"> út kialakítása a </w:t>
      </w:r>
      <w:r w:rsidRPr="00BE2563">
        <w:rPr>
          <w:b/>
        </w:rPr>
        <w:t>Deákvári fasor– Sas u.–Fürj u. tömbbelsőben</w:t>
      </w:r>
      <w:r w:rsidRPr="00BE2563">
        <w:t xml:space="preserve"> (1.650 eFt). A </w:t>
      </w:r>
      <w:r w:rsidRPr="00BE2563">
        <w:rPr>
          <w:b/>
        </w:rPr>
        <w:t>2. sz. főúton a Toyota szalonnál</w:t>
      </w:r>
      <w:r w:rsidRPr="00BE2563">
        <w:t xml:space="preserve"> kialakítandó </w:t>
      </w:r>
      <w:r w:rsidRPr="00BE2563">
        <w:rPr>
          <w:b/>
        </w:rPr>
        <w:t>gyalogosátkelőhely</w:t>
      </w:r>
      <w:r w:rsidRPr="00BE2563">
        <w:t xml:space="preserve"> és autóbuszöböl-pár tervei 2.880 eFt-ba, a </w:t>
      </w:r>
      <w:r w:rsidRPr="00BE2563">
        <w:rPr>
          <w:b/>
        </w:rPr>
        <w:t>Deákvár–Szérűskert kerékpárút tervei</w:t>
      </w:r>
      <w:r w:rsidRPr="00BE2563">
        <w:t xml:space="preserve"> 4.781 eFt-ba kerültek. A </w:t>
      </w:r>
      <w:r w:rsidRPr="00BE2563">
        <w:rPr>
          <w:b/>
        </w:rPr>
        <w:t>Dunaparti gyűjtőút</w:t>
      </w:r>
      <w:r w:rsidRPr="00BE2563">
        <w:t xml:space="preserve"> pályázatírásának díja (120 eFt) a tavalyi évről áthúzódó kifizetés volt. A </w:t>
      </w:r>
      <w:r w:rsidRPr="00BE2563">
        <w:rPr>
          <w:b/>
        </w:rPr>
        <w:t>Felsőtörökhegyi út közműépítéséhez</w:t>
      </w:r>
      <w:r w:rsidRPr="00BE2563">
        <w:t xml:space="preserve"> kapcsolódó telekalakítási terv költségének 80%-át kifizettük (653 eFt). </w:t>
      </w:r>
      <w:r w:rsidRPr="00BE2563">
        <w:rPr>
          <w:b/>
        </w:rPr>
        <w:t xml:space="preserve">A Kápolna utcában </w:t>
      </w:r>
      <w:r w:rsidRPr="00BE2563">
        <w:t>a tavalyi évben elkészült 566 m</w:t>
      </w:r>
      <w:r w:rsidRPr="00BE2563">
        <w:rPr>
          <w:vertAlign w:val="superscript"/>
        </w:rPr>
        <w:t>2</w:t>
      </w:r>
      <w:r w:rsidRPr="00BE2563">
        <w:t xml:space="preserve"> aszfaltos út, 283 m</w:t>
      </w:r>
      <w:r w:rsidRPr="00BE2563">
        <w:rPr>
          <w:vertAlign w:val="superscript"/>
        </w:rPr>
        <w:t>2</w:t>
      </w:r>
      <w:r w:rsidRPr="00BE2563">
        <w:t xml:space="preserve"> aszfaltos járda és 36 m</w:t>
      </w:r>
      <w:r w:rsidRPr="00BE2563">
        <w:rPr>
          <w:vertAlign w:val="superscript"/>
        </w:rPr>
        <w:t>2</w:t>
      </w:r>
      <w:r w:rsidRPr="00BE2563">
        <w:t xml:space="preserve"> lapburkolatú lépcső, melynek utolsó számláját januárban fizettük ki (7.208 eFt). A </w:t>
      </w:r>
      <w:r w:rsidRPr="00BE2563">
        <w:rPr>
          <w:b/>
        </w:rPr>
        <w:t>Kosdi u.-Deákvári fasor-Kosdi u.-Telep u</w:t>
      </w:r>
      <w:r w:rsidRPr="00BE2563">
        <w:t xml:space="preserve">. </w:t>
      </w:r>
      <w:r w:rsidRPr="00BE2563">
        <w:rPr>
          <w:b/>
        </w:rPr>
        <w:t>körforgalmú csomópont</w:t>
      </w:r>
      <w:r w:rsidRPr="00BE2563">
        <w:t xml:space="preserve"> kialakításához szükséges útépítési tervdokumentáció szakmai felülvizsgálatának és korszerűsítési nyilatkozatának díja 120 eFt, a közvilágítási hálózat újraengedélyeztetésének költsége 29 eFt, fénymásolás díja 18 eFt volt. Vác város </w:t>
      </w:r>
      <w:r w:rsidRPr="00BE2563">
        <w:rPr>
          <w:b/>
        </w:rPr>
        <w:t>tömegközlekedési</w:t>
      </w:r>
      <w:r w:rsidRPr="00BE2563">
        <w:t xml:space="preserve"> </w:t>
      </w:r>
      <w:r w:rsidRPr="00BE2563">
        <w:rPr>
          <w:b/>
        </w:rPr>
        <w:t xml:space="preserve">hálózatfejlesztési tervét és közlekedésfejlesztési programtervét </w:t>
      </w:r>
      <w:r w:rsidRPr="00BE2563">
        <w:t xml:space="preserve">5.920 eFt-ért készítették el. A </w:t>
      </w:r>
      <w:r w:rsidRPr="00BE2563">
        <w:rPr>
          <w:b/>
        </w:rPr>
        <w:t>Landerer utca elején</w:t>
      </w:r>
      <w:r w:rsidRPr="00BE2563">
        <w:t xml:space="preserve"> 5,2 m</w:t>
      </w:r>
      <w:r w:rsidRPr="00BE2563">
        <w:rPr>
          <w:vertAlign w:val="superscript"/>
        </w:rPr>
        <w:t xml:space="preserve">2 </w:t>
      </w:r>
      <w:r w:rsidRPr="00BE2563">
        <w:t xml:space="preserve">hiányzó járda épült (50 eFt). A </w:t>
      </w:r>
      <w:r w:rsidRPr="00BE2563">
        <w:rPr>
          <w:b/>
        </w:rPr>
        <w:t>Rádi úti</w:t>
      </w:r>
      <w:r w:rsidRPr="00BE2563">
        <w:t xml:space="preserve"> </w:t>
      </w:r>
      <w:r w:rsidRPr="00BE2563">
        <w:rPr>
          <w:b/>
        </w:rPr>
        <w:t>kerékpárút</w:t>
      </w:r>
      <w:r w:rsidRPr="00BE2563">
        <w:t xml:space="preserve"> tervezésének végszámlája 648 eFt volt, a pályázatírás díja 720 eFt, fénymásolásért 18 eFt-ot fizettünk. Elkészült a </w:t>
      </w:r>
      <w:r w:rsidRPr="00BE2563">
        <w:rPr>
          <w:b/>
        </w:rPr>
        <w:t>Rádi úti kerékpárút</w:t>
      </w:r>
      <w:r w:rsidRPr="00BE2563">
        <w:t xml:space="preserve">, az építés költsége 25.981 eFt volt, ebből 24.770 eFt-ot fizettünk ki ebben a negyedévben. A Rádi úti kerékpárút építéséhez biztosított saját forrást a 7. számú </w:t>
      </w:r>
      <w:r w:rsidRPr="00BE2563">
        <w:lastRenderedPageBreak/>
        <w:t xml:space="preserve">rendeletmódosítás során a céltartalékok közül a fejlesztési kiadások közé csoportosítottuk át, a támogatás lehívása folyamatban van, előreláthatólag az év végéig folyósítani is fogják. Befejezték a </w:t>
      </w:r>
      <w:r w:rsidRPr="00BE2563">
        <w:rPr>
          <w:b/>
        </w:rPr>
        <w:t xml:space="preserve">Sövény utcában </w:t>
      </w:r>
      <w:r w:rsidRPr="00BE2563">
        <w:t xml:space="preserve">a lépcső építését, ennek költsége 1.612 eFt volt. A </w:t>
      </w:r>
      <w:r w:rsidRPr="00BE2563">
        <w:rPr>
          <w:b/>
        </w:rPr>
        <w:t xml:space="preserve">Szt. László kerékpárút </w:t>
      </w:r>
      <w:r w:rsidRPr="00BE2563">
        <w:t xml:space="preserve">pályázatírásának díja 120 eFt volt. Az ELMÜ Nyrt az idei évben számlázta le a </w:t>
      </w:r>
      <w:r w:rsidRPr="00BE2563">
        <w:rPr>
          <w:b/>
        </w:rPr>
        <w:t>Végh Dezső utcában található szabadvezeték oszlop</w:t>
      </w:r>
      <w:r w:rsidRPr="00BE2563">
        <w:t xml:space="preserve"> áthelyezését (508 eFt, az áthelyezés már korábban megtörtént). A </w:t>
      </w:r>
      <w:r w:rsidRPr="00BE2563">
        <w:rPr>
          <w:b/>
        </w:rPr>
        <w:t xml:space="preserve">Laktanya értékesítésének </w:t>
      </w:r>
      <w:r w:rsidRPr="00BE2563">
        <w:t xml:space="preserve">előkészítésével kapcsolatban fénymásolási díjakat, tulajdoni lapok költségét, megosztási és törlési vázrajzok elkészítésének díját, statikai bemérések díját, a területen található életveszélyes és használhatatlan épületek és építmények bontási költségét fizettük ki, szeptember 30-ig összesen 21.431 eFt-ot. A 4. sz. választókörzetben a Honvéd u.-Karcsú A. u. kereszteződésbe telepítendő </w:t>
      </w:r>
      <w:r w:rsidRPr="00BE2563">
        <w:rPr>
          <w:b/>
        </w:rPr>
        <w:t>térfigyelő kamera</w:t>
      </w:r>
      <w:r w:rsidRPr="00BE2563">
        <w:t xml:space="preserve"> kiviteli tervdokumentációja 702 eFt-ért készült el. A tavalyi évben az </w:t>
      </w:r>
      <w:r w:rsidRPr="00BE2563">
        <w:rPr>
          <w:b/>
        </w:rPr>
        <w:t>alsóvárosi temetőben</w:t>
      </w:r>
      <w:r w:rsidRPr="00BE2563">
        <w:t xml:space="preserve"> megépült </w:t>
      </w:r>
      <w:r w:rsidRPr="00BE2563">
        <w:rPr>
          <w:b/>
        </w:rPr>
        <w:t xml:space="preserve">hűtőkamra </w:t>
      </w:r>
      <w:r w:rsidRPr="00BE2563">
        <w:t>építésének számláját (1.516 eFt) ez évben egyenlítettük ki. Az alsóvárosi temetőben k</w:t>
      </w:r>
      <w:r w:rsidRPr="00BE2563">
        <w:rPr>
          <w:b/>
        </w:rPr>
        <w:t xml:space="preserve">özvilágítás bővítés is </w:t>
      </w:r>
      <w:r w:rsidRPr="00BE2563">
        <w:t xml:space="preserve">történt, ennek során 4 db lámpatestet szereltek fel (1.499 eFt). Az </w:t>
      </w:r>
      <w:r w:rsidRPr="00BE2563">
        <w:rPr>
          <w:b/>
        </w:rPr>
        <w:t>energiahatékonysági vizsgálatok</w:t>
      </w:r>
      <w:r w:rsidRPr="00BE2563">
        <w:t xml:space="preserve"> keretében elkészítik Vác város önkormányzati energiahatékonyság növelési és megújuló energia hasznosítási stratégiáját és cselekvési programját, valamint Vác város önkormányzati intézményi energiahatékonyság növelési cselekvési programját, ezek elkészítésének határideje (és így a pénzügyi teljesítés határideje is) a következő költségvetési év. Az </w:t>
      </w:r>
      <w:r w:rsidRPr="00BE2563">
        <w:rPr>
          <w:b/>
        </w:rPr>
        <w:t>illegális hulladéklerakók</w:t>
      </w:r>
      <w:r w:rsidRPr="00BE2563">
        <w:t xml:space="preserve"> felszámolására a fejlesztési kiadások között biztosított előirányzat terhére figyelemfelkeltő táblák, padok, szemetes edények kihelyezésére kötött eddig szerződést az önkormányzat. A </w:t>
      </w:r>
      <w:r w:rsidRPr="00BE2563">
        <w:rPr>
          <w:b/>
        </w:rPr>
        <w:t>Kertvárosban található nagyfeszültségű transzformátor</w:t>
      </w:r>
      <w:r w:rsidRPr="00BE2563">
        <w:t xml:space="preserve"> szabványosítására és az elektromos műszaki szolgáltató részére történő átadásra biztosított forrás az állapot felmérés (90 eFt) szerint nem volt elegendő, ezért a 7. számú rendeletmódosítás során a felújítási kiadások közül előirányzat átcsoportosítással még 4.000 eFt-ot biztosított az önkormányzat a feladatra, így folytatódhat a munka. A </w:t>
      </w:r>
      <w:r w:rsidRPr="00BE2563">
        <w:rPr>
          <w:b/>
        </w:rPr>
        <w:t>Kúria udvarán</w:t>
      </w:r>
      <w:r w:rsidRPr="00BE2563">
        <w:t xml:space="preserve"> megépült nyilvános </w:t>
      </w:r>
      <w:r w:rsidRPr="00BE2563">
        <w:rPr>
          <w:b/>
        </w:rPr>
        <w:t>illemhely</w:t>
      </w:r>
      <w:r w:rsidRPr="00BE2563">
        <w:t xml:space="preserve"> tervei 264 eFt-ba kerültek, az építés költsége 4.000 eFt volt, az illemhely építéséhez kapcsolódó Március 15. tér 22. számú épület csatornájának cseréje 527 eFt volt. A tavalyi év végén a </w:t>
      </w:r>
      <w:r w:rsidRPr="00BE2563">
        <w:rPr>
          <w:b/>
        </w:rPr>
        <w:t>Főtéren</w:t>
      </w:r>
      <w:r w:rsidRPr="00BE2563">
        <w:t xml:space="preserve"> történő 1 éves műszaki felülvizsgálat lebonyolításának díja 1.782 eFt volt. A </w:t>
      </w:r>
      <w:r w:rsidRPr="00BE2563">
        <w:rPr>
          <w:b/>
        </w:rPr>
        <w:t>Főutca-Főtér program II. ütem</w:t>
      </w:r>
      <w:r w:rsidRPr="00BE2563">
        <w:t xml:space="preserve"> – Főutca rekonstrukció feladatra a pályázat benyújtásához szükséges munkákat végeztette el az önkormányzat, úgymint a tervek elkészíttetése, melynek teljes költsége 26.106 eFt, ebből 25.158 eFt-ot fizettünk ki, az Integrált Városfejlesztési Stratégia (9.000 eFt), az Akcióterületi terv (6.000 eFt), és a Főutca-Főtér program pályázati projekt terv (600 eFt) elkészíttetése.</w:t>
      </w:r>
    </w:p>
    <w:p w:rsidR="00E900B4" w:rsidRPr="00BE2563" w:rsidRDefault="00E900B4" w:rsidP="00E900B4">
      <w:pPr>
        <w:spacing w:line="360" w:lineRule="auto"/>
        <w:jc w:val="both"/>
      </w:pPr>
    </w:p>
    <w:p w:rsidR="00E900B4" w:rsidRDefault="00E900B4" w:rsidP="00E900B4">
      <w:pPr>
        <w:spacing w:line="360" w:lineRule="auto"/>
        <w:jc w:val="both"/>
      </w:pPr>
    </w:p>
    <w:p w:rsidR="00E900B4" w:rsidRDefault="00E900B4" w:rsidP="00E900B4">
      <w:pPr>
        <w:spacing w:line="360" w:lineRule="auto"/>
        <w:jc w:val="both"/>
      </w:pPr>
    </w:p>
    <w:p w:rsidR="00E900B4" w:rsidRDefault="00E900B4" w:rsidP="00E900B4">
      <w:pPr>
        <w:spacing w:line="360" w:lineRule="auto"/>
        <w:jc w:val="both"/>
      </w:pPr>
    </w:p>
    <w:p w:rsidR="00E900B4" w:rsidRDefault="00E900B4" w:rsidP="00E900B4">
      <w:r>
        <w:t xml:space="preserve">A költségvetési </w:t>
      </w:r>
      <w:r w:rsidRPr="001A646C">
        <w:rPr>
          <w:b/>
        </w:rPr>
        <w:t>tartalékok</w:t>
      </w:r>
      <w:r>
        <w:t xml:space="preserve"> állományát az alábbiak szerint mutatjuk be (2008. szeptember 30-i állapot):</w:t>
      </w:r>
    </w:p>
    <w:p w:rsidR="00E900B4" w:rsidRDefault="00E900B4" w:rsidP="00E900B4"/>
    <w:p w:rsidR="00E900B4" w:rsidRPr="001A646C" w:rsidRDefault="00E900B4" w:rsidP="00E900B4">
      <w:pPr>
        <w:rPr>
          <w:b/>
        </w:rPr>
      </w:pPr>
      <w:r w:rsidRPr="001A646C">
        <w:rPr>
          <w:b/>
        </w:rPr>
        <w:t>Céltartalékok:</w:t>
      </w:r>
    </w:p>
    <w:p w:rsidR="00E900B4" w:rsidRDefault="00E900B4" w:rsidP="00E900B4"/>
    <w:tbl>
      <w:tblPr>
        <w:tblW w:w="7245" w:type="dxa"/>
        <w:tblInd w:w="55" w:type="dxa"/>
        <w:tblCellMar>
          <w:left w:w="70" w:type="dxa"/>
          <w:right w:w="70" w:type="dxa"/>
        </w:tblCellMar>
        <w:tblLook w:val="04A0"/>
      </w:tblPr>
      <w:tblGrid>
        <w:gridCol w:w="760"/>
        <w:gridCol w:w="4940"/>
        <w:gridCol w:w="1545"/>
      </w:tblGrid>
      <w:tr w:rsidR="00E900B4" w:rsidRPr="001A646C" w:rsidTr="00565015">
        <w:trPr>
          <w:trHeight w:val="315"/>
        </w:trPr>
        <w:tc>
          <w:tcPr>
            <w:tcW w:w="760" w:type="dxa"/>
            <w:shd w:val="clear" w:color="auto" w:fill="auto"/>
            <w:noWrap/>
            <w:vAlign w:val="bottom"/>
            <w:hideMark/>
          </w:tcPr>
          <w:p w:rsidR="00E900B4" w:rsidRPr="001A646C" w:rsidRDefault="00E900B4" w:rsidP="00565015">
            <w:pPr>
              <w:jc w:val="both"/>
            </w:pPr>
            <w:r w:rsidRPr="001A646C">
              <w:t>1</w:t>
            </w:r>
          </w:p>
        </w:tc>
        <w:tc>
          <w:tcPr>
            <w:tcW w:w="4940" w:type="dxa"/>
            <w:shd w:val="clear" w:color="auto" w:fill="auto"/>
            <w:noWrap/>
            <w:vAlign w:val="bottom"/>
            <w:hideMark/>
          </w:tcPr>
          <w:p w:rsidR="00E900B4" w:rsidRPr="001A646C" w:rsidRDefault="00E900B4" w:rsidP="00565015">
            <w:pPr>
              <w:jc w:val="both"/>
            </w:pPr>
            <w:r w:rsidRPr="001A646C">
              <w:t>Tanulói tankönyv</w:t>
            </w:r>
          </w:p>
        </w:tc>
        <w:tc>
          <w:tcPr>
            <w:tcW w:w="1545" w:type="dxa"/>
            <w:vAlign w:val="bottom"/>
          </w:tcPr>
          <w:p w:rsidR="00E900B4" w:rsidRPr="00FF37FC" w:rsidRDefault="00E900B4" w:rsidP="00565015">
            <w:pPr>
              <w:jc w:val="right"/>
              <w:rPr>
                <w:bCs/>
              </w:rPr>
            </w:pPr>
            <w:r w:rsidRPr="00FF37FC">
              <w:rPr>
                <w:bCs/>
              </w:rPr>
              <w:t>1</w:t>
            </w:r>
            <w:r>
              <w:rPr>
                <w:bCs/>
              </w:rPr>
              <w:t>7 455 eFt</w:t>
            </w:r>
          </w:p>
        </w:tc>
      </w:tr>
      <w:tr w:rsidR="00E900B4" w:rsidRPr="001A646C" w:rsidTr="00565015">
        <w:trPr>
          <w:trHeight w:val="315"/>
        </w:trPr>
        <w:tc>
          <w:tcPr>
            <w:tcW w:w="760" w:type="dxa"/>
            <w:shd w:val="clear" w:color="auto" w:fill="auto"/>
            <w:noWrap/>
            <w:vAlign w:val="bottom"/>
            <w:hideMark/>
          </w:tcPr>
          <w:p w:rsidR="00E900B4" w:rsidRPr="001A646C" w:rsidRDefault="00E900B4" w:rsidP="00565015">
            <w:pPr>
              <w:jc w:val="both"/>
            </w:pPr>
            <w:r w:rsidRPr="001A646C">
              <w:t>3</w:t>
            </w:r>
          </w:p>
        </w:tc>
        <w:tc>
          <w:tcPr>
            <w:tcW w:w="4940" w:type="dxa"/>
            <w:shd w:val="clear" w:color="auto" w:fill="auto"/>
            <w:noWrap/>
            <w:vAlign w:val="bottom"/>
            <w:hideMark/>
          </w:tcPr>
          <w:p w:rsidR="00E900B4" w:rsidRPr="001A646C" w:rsidRDefault="00E900B4" w:rsidP="00565015">
            <w:pPr>
              <w:jc w:val="both"/>
            </w:pPr>
            <w:r w:rsidRPr="001A646C">
              <w:t>Választókerületi feladatok 200</w:t>
            </w:r>
            <w:r>
              <w:t>7</w:t>
            </w:r>
            <w:r w:rsidRPr="001A646C">
              <w:t>. évi marad</w:t>
            </w:r>
            <w:r>
              <w:t>ványa</w:t>
            </w:r>
          </w:p>
        </w:tc>
        <w:tc>
          <w:tcPr>
            <w:tcW w:w="1545" w:type="dxa"/>
            <w:vAlign w:val="bottom"/>
          </w:tcPr>
          <w:p w:rsidR="00E900B4" w:rsidRPr="00FF37FC" w:rsidRDefault="00E900B4" w:rsidP="00565015">
            <w:pPr>
              <w:jc w:val="right"/>
              <w:rPr>
                <w:bCs/>
              </w:rPr>
            </w:pPr>
            <w:r>
              <w:rPr>
                <w:bCs/>
              </w:rPr>
              <w:t>5 492 eFt</w:t>
            </w:r>
          </w:p>
        </w:tc>
      </w:tr>
      <w:tr w:rsidR="00E900B4" w:rsidRPr="001A646C" w:rsidTr="00565015">
        <w:trPr>
          <w:trHeight w:val="315"/>
        </w:trPr>
        <w:tc>
          <w:tcPr>
            <w:tcW w:w="760" w:type="dxa"/>
            <w:shd w:val="clear" w:color="auto" w:fill="auto"/>
            <w:noWrap/>
            <w:vAlign w:val="bottom"/>
            <w:hideMark/>
          </w:tcPr>
          <w:p w:rsidR="00E900B4" w:rsidRPr="001A646C" w:rsidRDefault="00E900B4" w:rsidP="00565015">
            <w:pPr>
              <w:jc w:val="both"/>
            </w:pPr>
            <w:r w:rsidRPr="001A646C">
              <w:t>4</w:t>
            </w:r>
          </w:p>
        </w:tc>
        <w:tc>
          <w:tcPr>
            <w:tcW w:w="4940" w:type="dxa"/>
            <w:shd w:val="clear" w:color="auto" w:fill="auto"/>
            <w:noWrap/>
            <w:vAlign w:val="bottom"/>
            <w:hideMark/>
          </w:tcPr>
          <w:p w:rsidR="00E900B4" w:rsidRPr="001A646C" w:rsidRDefault="00E900B4" w:rsidP="00565015">
            <w:pPr>
              <w:jc w:val="both"/>
            </w:pPr>
            <w:r w:rsidRPr="001A646C">
              <w:t>Választókerületi feladatok 200</w:t>
            </w:r>
            <w:r>
              <w:t>8</w:t>
            </w:r>
            <w:r w:rsidRPr="001A646C">
              <w:t xml:space="preserve">. </w:t>
            </w:r>
          </w:p>
        </w:tc>
        <w:tc>
          <w:tcPr>
            <w:tcW w:w="1545" w:type="dxa"/>
            <w:vAlign w:val="bottom"/>
          </w:tcPr>
          <w:p w:rsidR="00E900B4" w:rsidRPr="00FF37FC" w:rsidRDefault="00E900B4" w:rsidP="00565015">
            <w:pPr>
              <w:jc w:val="right"/>
              <w:rPr>
                <w:bCs/>
              </w:rPr>
            </w:pPr>
            <w:r>
              <w:rPr>
                <w:bCs/>
              </w:rPr>
              <w:t>65 800 eFt</w:t>
            </w:r>
          </w:p>
        </w:tc>
      </w:tr>
      <w:tr w:rsidR="00E900B4" w:rsidRPr="001A646C" w:rsidTr="00565015">
        <w:trPr>
          <w:trHeight w:val="315"/>
        </w:trPr>
        <w:tc>
          <w:tcPr>
            <w:tcW w:w="760" w:type="dxa"/>
            <w:shd w:val="clear" w:color="auto" w:fill="auto"/>
            <w:noWrap/>
            <w:vAlign w:val="bottom"/>
            <w:hideMark/>
          </w:tcPr>
          <w:p w:rsidR="00E900B4" w:rsidRPr="001A646C" w:rsidRDefault="00E900B4" w:rsidP="00565015">
            <w:pPr>
              <w:jc w:val="both"/>
            </w:pPr>
            <w:r w:rsidRPr="001A646C">
              <w:t>5</w:t>
            </w:r>
          </w:p>
        </w:tc>
        <w:tc>
          <w:tcPr>
            <w:tcW w:w="4940" w:type="dxa"/>
            <w:shd w:val="clear" w:color="auto" w:fill="auto"/>
            <w:noWrap/>
            <w:vAlign w:val="bottom"/>
            <w:hideMark/>
          </w:tcPr>
          <w:p w:rsidR="00E900B4" w:rsidRPr="001A646C" w:rsidRDefault="00E900B4" w:rsidP="00565015">
            <w:pPr>
              <w:jc w:val="both"/>
            </w:pPr>
            <w:r>
              <w:t>Pályázati céltartalék</w:t>
            </w:r>
          </w:p>
        </w:tc>
        <w:tc>
          <w:tcPr>
            <w:tcW w:w="1545" w:type="dxa"/>
            <w:vAlign w:val="bottom"/>
          </w:tcPr>
          <w:p w:rsidR="00E900B4" w:rsidRPr="00FF37FC" w:rsidRDefault="00E900B4" w:rsidP="00565015">
            <w:pPr>
              <w:jc w:val="right"/>
              <w:rPr>
                <w:bCs/>
              </w:rPr>
            </w:pPr>
            <w:r>
              <w:rPr>
                <w:bCs/>
              </w:rPr>
              <w:t>257 837 eFt</w:t>
            </w:r>
          </w:p>
        </w:tc>
      </w:tr>
      <w:tr w:rsidR="00E900B4" w:rsidRPr="001A646C" w:rsidTr="00565015">
        <w:trPr>
          <w:trHeight w:val="315"/>
        </w:trPr>
        <w:tc>
          <w:tcPr>
            <w:tcW w:w="760" w:type="dxa"/>
            <w:shd w:val="clear" w:color="auto" w:fill="auto"/>
            <w:noWrap/>
            <w:vAlign w:val="bottom"/>
            <w:hideMark/>
          </w:tcPr>
          <w:p w:rsidR="00E900B4" w:rsidRPr="001A646C" w:rsidRDefault="00E900B4" w:rsidP="00565015">
            <w:pPr>
              <w:jc w:val="both"/>
            </w:pPr>
            <w:r w:rsidRPr="001A646C">
              <w:t>6</w:t>
            </w:r>
          </w:p>
        </w:tc>
        <w:tc>
          <w:tcPr>
            <w:tcW w:w="4940" w:type="dxa"/>
            <w:shd w:val="clear" w:color="auto" w:fill="auto"/>
            <w:noWrap/>
            <w:vAlign w:val="bottom"/>
            <w:hideMark/>
          </w:tcPr>
          <w:p w:rsidR="00E900B4" w:rsidRPr="001A646C" w:rsidRDefault="00E900B4" w:rsidP="00565015">
            <w:pPr>
              <w:jc w:val="both"/>
            </w:pPr>
            <w:r>
              <w:t>Alapellátási Egészségügyi Fejlesztési Pályázat</w:t>
            </w:r>
          </w:p>
        </w:tc>
        <w:tc>
          <w:tcPr>
            <w:tcW w:w="1545" w:type="dxa"/>
            <w:vAlign w:val="bottom"/>
          </w:tcPr>
          <w:p w:rsidR="00E900B4" w:rsidRPr="00FF37FC" w:rsidRDefault="00E900B4" w:rsidP="00565015">
            <w:pPr>
              <w:jc w:val="right"/>
              <w:rPr>
                <w:bCs/>
              </w:rPr>
            </w:pPr>
            <w:r>
              <w:rPr>
                <w:bCs/>
              </w:rPr>
              <w:t>387 eFt</w:t>
            </w:r>
          </w:p>
        </w:tc>
      </w:tr>
      <w:tr w:rsidR="00E900B4" w:rsidRPr="001A646C" w:rsidTr="00565015">
        <w:trPr>
          <w:trHeight w:val="315"/>
        </w:trPr>
        <w:tc>
          <w:tcPr>
            <w:tcW w:w="760" w:type="dxa"/>
            <w:shd w:val="clear" w:color="auto" w:fill="auto"/>
            <w:noWrap/>
            <w:vAlign w:val="bottom"/>
            <w:hideMark/>
          </w:tcPr>
          <w:p w:rsidR="00E900B4" w:rsidRPr="001A646C" w:rsidRDefault="00E900B4" w:rsidP="00565015">
            <w:pPr>
              <w:jc w:val="both"/>
            </w:pPr>
            <w:r w:rsidRPr="001A646C">
              <w:t>7</w:t>
            </w:r>
          </w:p>
        </w:tc>
        <w:tc>
          <w:tcPr>
            <w:tcW w:w="4940" w:type="dxa"/>
            <w:shd w:val="clear" w:color="auto" w:fill="auto"/>
            <w:noWrap/>
            <w:vAlign w:val="bottom"/>
            <w:hideMark/>
          </w:tcPr>
          <w:p w:rsidR="00E900B4" w:rsidRPr="001A646C" w:rsidRDefault="00E900B4" w:rsidP="00565015">
            <w:pPr>
              <w:jc w:val="both"/>
            </w:pPr>
            <w:r>
              <w:t>Belterületbe vont településrészek közmű tám.</w:t>
            </w:r>
          </w:p>
        </w:tc>
        <w:tc>
          <w:tcPr>
            <w:tcW w:w="1545" w:type="dxa"/>
            <w:vAlign w:val="bottom"/>
          </w:tcPr>
          <w:p w:rsidR="00E900B4" w:rsidRPr="00FF37FC" w:rsidRDefault="00E900B4" w:rsidP="00565015">
            <w:pPr>
              <w:jc w:val="right"/>
              <w:rPr>
                <w:bCs/>
              </w:rPr>
            </w:pPr>
            <w:r w:rsidRPr="00FF37FC">
              <w:rPr>
                <w:bCs/>
              </w:rPr>
              <w:t>3</w:t>
            </w:r>
            <w:r>
              <w:rPr>
                <w:bCs/>
              </w:rPr>
              <w:t> 4</w:t>
            </w:r>
            <w:r w:rsidRPr="00FF37FC">
              <w:rPr>
                <w:bCs/>
              </w:rPr>
              <w:t>5</w:t>
            </w:r>
            <w:r>
              <w:rPr>
                <w:bCs/>
              </w:rPr>
              <w:t>0 eFt</w:t>
            </w:r>
          </w:p>
        </w:tc>
      </w:tr>
      <w:tr w:rsidR="00E900B4" w:rsidRPr="001A646C" w:rsidTr="00565015">
        <w:trPr>
          <w:trHeight w:val="315"/>
        </w:trPr>
        <w:tc>
          <w:tcPr>
            <w:tcW w:w="760" w:type="dxa"/>
            <w:shd w:val="clear" w:color="auto" w:fill="auto"/>
            <w:noWrap/>
            <w:vAlign w:val="bottom"/>
            <w:hideMark/>
          </w:tcPr>
          <w:p w:rsidR="00E900B4" w:rsidRPr="001A646C" w:rsidRDefault="00E900B4" w:rsidP="00565015">
            <w:pPr>
              <w:jc w:val="both"/>
            </w:pPr>
            <w:r w:rsidRPr="001A646C">
              <w:t>8</w:t>
            </w:r>
          </w:p>
        </w:tc>
        <w:tc>
          <w:tcPr>
            <w:tcW w:w="4940" w:type="dxa"/>
            <w:shd w:val="clear" w:color="auto" w:fill="auto"/>
            <w:noWrap/>
            <w:vAlign w:val="bottom"/>
            <w:hideMark/>
          </w:tcPr>
          <w:p w:rsidR="00E900B4" w:rsidRPr="001A646C" w:rsidRDefault="00E900B4" w:rsidP="00565015">
            <w:pPr>
              <w:jc w:val="both"/>
            </w:pPr>
            <w:r>
              <w:t>Naszály Galga Kht által felvett hitel költségeire</w:t>
            </w:r>
          </w:p>
        </w:tc>
        <w:tc>
          <w:tcPr>
            <w:tcW w:w="1545" w:type="dxa"/>
            <w:vAlign w:val="bottom"/>
          </w:tcPr>
          <w:p w:rsidR="00E900B4" w:rsidRPr="00FF37FC" w:rsidRDefault="00E900B4" w:rsidP="00565015">
            <w:pPr>
              <w:jc w:val="right"/>
              <w:rPr>
                <w:bCs/>
              </w:rPr>
            </w:pPr>
            <w:r>
              <w:rPr>
                <w:bCs/>
              </w:rPr>
              <w:t>9 0</w:t>
            </w:r>
            <w:r w:rsidRPr="00FF37FC">
              <w:rPr>
                <w:bCs/>
              </w:rPr>
              <w:t>00</w:t>
            </w:r>
            <w:r>
              <w:rPr>
                <w:bCs/>
              </w:rPr>
              <w:t xml:space="preserve"> eFt</w:t>
            </w:r>
          </w:p>
        </w:tc>
      </w:tr>
      <w:tr w:rsidR="00E900B4" w:rsidRPr="001A646C" w:rsidTr="00565015">
        <w:trPr>
          <w:trHeight w:val="315"/>
        </w:trPr>
        <w:tc>
          <w:tcPr>
            <w:tcW w:w="760" w:type="dxa"/>
            <w:shd w:val="clear" w:color="auto" w:fill="auto"/>
            <w:noWrap/>
            <w:vAlign w:val="bottom"/>
            <w:hideMark/>
          </w:tcPr>
          <w:p w:rsidR="00E900B4" w:rsidRPr="001A646C" w:rsidRDefault="00E900B4" w:rsidP="00565015">
            <w:pPr>
              <w:jc w:val="both"/>
            </w:pPr>
            <w:r w:rsidRPr="001A646C">
              <w:t>9</w:t>
            </w:r>
          </w:p>
        </w:tc>
        <w:tc>
          <w:tcPr>
            <w:tcW w:w="4940" w:type="dxa"/>
            <w:shd w:val="clear" w:color="auto" w:fill="auto"/>
            <w:noWrap/>
            <w:vAlign w:val="bottom"/>
            <w:hideMark/>
          </w:tcPr>
          <w:p w:rsidR="00E900B4" w:rsidRPr="001A646C" w:rsidRDefault="00E900B4" w:rsidP="00565015">
            <w:pPr>
              <w:jc w:val="both"/>
            </w:pPr>
            <w:r>
              <w:t>Társasházak felújítási pályázata</w:t>
            </w:r>
          </w:p>
        </w:tc>
        <w:tc>
          <w:tcPr>
            <w:tcW w:w="1545" w:type="dxa"/>
            <w:vAlign w:val="bottom"/>
          </w:tcPr>
          <w:p w:rsidR="00E900B4" w:rsidRPr="00FF37FC" w:rsidRDefault="00E900B4" w:rsidP="00565015">
            <w:pPr>
              <w:jc w:val="right"/>
              <w:rPr>
                <w:bCs/>
              </w:rPr>
            </w:pPr>
            <w:r w:rsidRPr="00FF37FC">
              <w:rPr>
                <w:bCs/>
              </w:rPr>
              <w:t>1</w:t>
            </w:r>
            <w:r>
              <w:rPr>
                <w:bCs/>
              </w:rPr>
              <w:t>0 000 eFt</w:t>
            </w:r>
          </w:p>
        </w:tc>
      </w:tr>
      <w:tr w:rsidR="00E900B4" w:rsidRPr="001A646C" w:rsidTr="00565015">
        <w:trPr>
          <w:trHeight w:val="315"/>
        </w:trPr>
        <w:tc>
          <w:tcPr>
            <w:tcW w:w="760" w:type="dxa"/>
            <w:shd w:val="clear" w:color="auto" w:fill="auto"/>
            <w:noWrap/>
            <w:vAlign w:val="bottom"/>
            <w:hideMark/>
          </w:tcPr>
          <w:p w:rsidR="00E900B4" w:rsidRPr="001A646C" w:rsidRDefault="00E900B4" w:rsidP="00565015">
            <w:pPr>
              <w:jc w:val="both"/>
            </w:pPr>
            <w:r w:rsidRPr="001A646C">
              <w:t>10</w:t>
            </w:r>
          </w:p>
        </w:tc>
        <w:tc>
          <w:tcPr>
            <w:tcW w:w="4940" w:type="dxa"/>
            <w:shd w:val="clear" w:color="auto" w:fill="auto"/>
            <w:noWrap/>
            <w:vAlign w:val="bottom"/>
            <w:hideMark/>
          </w:tcPr>
          <w:p w:rsidR="00E900B4" w:rsidRPr="001A646C" w:rsidRDefault="00E900B4" w:rsidP="00565015">
            <w:r>
              <w:t>Gördeszka program</w:t>
            </w:r>
          </w:p>
        </w:tc>
        <w:tc>
          <w:tcPr>
            <w:tcW w:w="1545" w:type="dxa"/>
            <w:vAlign w:val="bottom"/>
          </w:tcPr>
          <w:p w:rsidR="00E900B4" w:rsidRPr="00FF37FC" w:rsidRDefault="00E900B4" w:rsidP="00565015">
            <w:pPr>
              <w:jc w:val="right"/>
              <w:rPr>
                <w:bCs/>
              </w:rPr>
            </w:pPr>
            <w:r>
              <w:rPr>
                <w:bCs/>
              </w:rPr>
              <w:t>1 300 eFt</w:t>
            </w:r>
          </w:p>
        </w:tc>
      </w:tr>
      <w:tr w:rsidR="00E900B4" w:rsidRPr="001A646C" w:rsidTr="00565015">
        <w:trPr>
          <w:trHeight w:val="315"/>
        </w:trPr>
        <w:tc>
          <w:tcPr>
            <w:tcW w:w="760" w:type="dxa"/>
            <w:shd w:val="clear" w:color="auto" w:fill="auto"/>
            <w:noWrap/>
            <w:vAlign w:val="bottom"/>
            <w:hideMark/>
          </w:tcPr>
          <w:p w:rsidR="00E900B4" w:rsidRPr="001A646C" w:rsidRDefault="00E900B4" w:rsidP="00565015">
            <w:pPr>
              <w:jc w:val="both"/>
            </w:pPr>
            <w:r w:rsidRPr="001A646C">
              <w:t>11</w:t>
            </w:r>
          </w:p>
        </w:tc>
        <w:tc>
          <w:tcPr>
            <w:tcW w:w="4940" w:type="dxa"/>
            <w:shd w:val="clear" w:color="auto" w:fill="auto"/>
            <w:noWrap/>
            <w:vAlign w:val="bottom"/>
            <w:hideMark/>
          </w:tcPr>
          <w:p w:rsidR="00E900B4" w:rsidRPr="001A646C" w:rsidRDefault="00E900B4" w:rsidP="00565015">
            <w:r>
              <w:t>Laktanya értékesítésének előkészítése</w:t>
            </w:r>
          </w:p>
        </w:tc>
        <w:tc>
          <w:tcPr>
            <w:tcW w:w="1545" w:type="dxa"/>
            <w:vAlign w:val="bottom"/>
          </w:tcPr>
          <w:p w:rsidR="00E900B4" w:rsidRPr="00FF37FC" w:rsidRDefault="00E900B4" w:rsidP="00565015">
            <w:pPr>
              <w:jc w:val="right"/>
              <w:rPr>
                <w:bCs/>
              </w:rPr>
            </w:pPr>
            <w:r>
              <w:rPr>
                <w:bCs/>
              </w:rPr>
              <w:t>9 778 eFt</w:t>
            </w:r>
          </w:p>
        </w:tc>
      </w:tr>
      <w:tr w:rsidR="00E900B4" w:rsidRPr="001A646C" w:rsidTr="00565015">
        <w:trPr>
          <w:trHeight w:val="315"/>
        </w:trPr>
        <w:tc>
          <w:tcPr>
            <w:tcW w:w="760" w:type="dxa"/>
            <w:shd w:val="clear" w:color="auto" w:fill="auto"/>
            <w:noWrap/>
            <w:vAlign w:val="bottom"/>
            <w:hideMark/>
          </w:tcPr>
          <w:p w:rsidR="00E900B4" w:rsidRPr="001A646C" w:rsidRDefault="00E900B4" w:rsidP="00565015">
            <w:pPr>
              <w:jc w:val="both"/>
            </w:pPr>
            <w:r>
              <w:t>12</w:t>
            </w:r>
          </w:p>
        </w:tc>
        <w:tc>
          <w:tcPr>
            <w:tcW w:w="4940" w:type="dxa"/>
            <w:shd w:val="clear" w:color="auto" w:fill="auto"/>
            <w:noWrap/>
            <w:vAlign w:val="bottom"/>
            <w:hideMark/>
          </w:tcPr>
          <w:p w:rsidR="00E900B4" w:rsidRPr="001A646C" w:rsidRDefault="00E900B4" w:rsidP="00565015">
            <w:r w:rsidRPr="001A646C">
              <w:t>Sáfár Béla köz útépítés</w:t>
            </w:r>
          </w:p>
        </w:tc>
        <w:tc>
          <w:tcPr>
            <w:tcW w:w="1545" w:type="dxa"/>
            <w:vAlign w:val="bottom"/>
          </w:tcPr>
          <w:p w:rsidR="00E900B4" w:rsidRPr="00FF37FC" w:rsidRDefault="00E900B4" w:rsidP="00565015">
            <w:pPr>
              <w:jc w:val="right"/>
              <w:rPr>
                <w:bCs/>
              </w:rPr>
            </w:pPr>
            <w:r>
              <w:rPr>
                <w:bCs/>
              </w:rPr>
              <w:t>1 700 eFt</w:t>
            </w:r>
          </w:p>
        </w:tc>
      </w:tr>
      <w:tr w:rsidR="00E900B4" w:rsidRPr="001A646C" w:rsidTr="00565015">
        <w:trPr>
          <w:trHeight w:val="315"/>
        </w:trPr>
        <w:tc>
          <w:tcPr>
            <w:tcW w:w="760" w:type="dxa"/>
            <w:shd w:val="clear" w:color="auto" w:fill="auto"/>
            <w:noWrap/>
            <w:vAlign w:val="bottom"/>
            <w:hideMark/>
          </w:tcPr>
          <w:p w:rsidR="00E900B4" w:rsidRPr="001A646C" w:rsidRDefault="00E900B4" w:rsidP="00565015">
            <w:pPr>
              <w:jc w:val="both"/>
            </w:pPr>
            <w:r>
              <w:t>13</w:t>
            </w:r>
          </w:p>
        </w:tc>
        <w:tc>
          <w:tcPr>
            <w:tcW w:w="4940" w:type="dxa"/>
            <w:shd w:val="clear" w:color="auto" w:fill="auto"/>
            <w:noWrap/>
            <w:vAlign w:val="bottom"/>
            <w:hideMark/>
          </w:tcPr>
          <w:p w:rsidR="00E900B4" w:rsidRPr="001A646C" w:rsidRDefault="00E900B4" w:rsidP="00565015">
            <w:r>
              <w:t>Lakásszámla tartaléka</w:t>
            </w:r>
          </w:p>
        </w:tc>
        <w:tc>
          <w:tcPr>
            <w:tcW w:w="1545" w:type="dxa"/>
            <w:vAlign w:val="bottom"/>
          </w:tcPr>
          <w:p w:rsidR="00E900B4" w:rsidRPr="00FF37FC" w:rsidRDefault="00E900B4" w:rsidP="00565015">
            <w:pPr>
              <w:jc w:val="right"/>
              <w:rPr>
                <w:bCs/>
              </w:rPr>
            </w:pPr>
            <w:r>
              <w:rPr>
                <w:bCs/>
              </w:rPr>
              <w:t>25 536 eFt</w:t>
            </w:r>
          </w:p>
        </w:tc>
      </w:tr>
      <w:tr w:rsidR="00E900B4" w:rsidRPr="001A646C" w:rsidTr="00565015">
        <w:trPr>
          <w:trHeight w:val="315"/>
        </w:trPr>
        <w:tc>
          <w:tcPr>
            <w:tcW w:w="760" w:type="dxa"/>
            <w:shd w:val="clear" w:color="auto" w:fill="auto"/>
            <w:noWrap/>
            <w:vAlign w:val="bottom"/>
            <w:hideMark/>
          </w:tcPr>
          <w:p w:rsidR="00E900B4" w:rsidRPr="001A646C" w:rsidRDefault="00E900B4" w:rsidP="00565015">
            <w:pPr>
              <w:jc w:val="both"/>
            </w:pPr>
            <w:r w:rsidRPr="001A646C">
              <w:t>1</w:t>
            </w:r>
            <w:r>
              <w:t>4</w:t>
            </w:r>
          </w:p>
        </w:tc>
        <w:tc>
          <w:tcPr>
            <w:tcW w:w="4940" w:type="dxa"/>
            <w:shd w:val="clear" w:color="auto" w:fill="auto"/>
            <w:noWrap/>
            <w:vAlign w:val="bottom"/>
            <w:hideMark/>
          </w:tcPr>
          <w:p w:rsidR="00E900B4" w:rsidRPr="001A646C" w:rsidRDefault="00E900B4" w:rsidP="00565015">
            <w:r>
              <w:t>Pályázat előkészítési munkák</w:t>
            </w:r>
          </w:p>
        </w:tc>
        <w:tc>
          <w:tcPr>
            <w:tcW w:w="1545" w:type="dxa"/>
            <w:vAlign w:val="bottom"/>
          </w:tcPr>
          <w:p w:rsidR="00E900B4" w:rsidRPr="00FF37FC" w:rsidRDefault="00E900B4" w:rsidP="00565015">
            <w:pPr>
              <w:jc w:val="right"/>
              <w:rPr>
                <w:bCs/>
              </w:rPr>
            </w:pPr>
            <w:r>
              <w:rPr>
                <w:bCs/>
              </w:rPr>
              <w:t>468 eFt</w:t>
            </w:r>
          </w:p>
        </w:tc>
      </w:tr>
      <w:tr w:rsidR="00E900B4" w:rsidRPr="001A646C" w:rsidTr="00565015">
        <w:trPr>
          <w:trHeight w:val="315"/>
        </w:trPr>
        <w:tc>
          <w:tcPr>
            <w:tcW w:w="760" w:type="dxa"/>
            <w:shd w:val="clear" w:color="auto" w:fill="auto"/>
            <w:noWrap/>
            <w:vAlign w:val="bottom"/>
            <w:hideMark/>
          </w:tcPr>
          <w:p w:rsidR="00E900B4" w:rsidRPr="001A646C" w:rsidRDefault="00E900B4" w:rsidP="00565015">
            <w:pPr>
              <w:jc w:val="both"/>
            </w:pPr>
            <w:r w:rsidRPr="001A646C">
              <w:t>1</w:t>
            </w:r>
            <w:r>
              <w:t>5</w:t>
            </w:r>
          </w:p>
        </w:tc>
        <w:tc>
          <w:tcPr>
            <w:tcW w:w="4940" w:type="dxa"/>
            <w:shd w:val="clear" w:color="auto" w:fill="auto"/>
            <w:noWrap/>
            <w:vAlign w:val="bottom"/>
            <w:hideMark/>
          </w:tcPr>
          <w:p w:rsidR="00E900B4" w:rsidRPr="001A646C" w:rsidRDefault="00E900B4" w:rsidP="00565015">
            <w:r>
              <w:t>Intézmények működésének támogatása</w:t>
            </w:r>
          </w:p>
        </w:tc>
        <w:tc>
          <w:tcPr>
            <w:tcW w:w="1545" w:type="dxa"/>
            <w:vAlign w:val="bottom"/>
          </w:tcPr>
          <w:p w:rsidR="00E900B4" w:rsidRPr="00FF37FC" w:rsidRDefault="00E900B4" w:rsidP="00565015">
            <w:pPr>
              <w:jc w:val="right"/>
              <w:rPr>
                <w:bCs/>
              </w:rPr>
            </w:pPr>
            <w:r w:rsidRPr="00FF37FC">
              <w:rPr>
                <w:bCs/>
              </w:rPr>
              <w:t>2</w:t>
            </w:r>
            <w:r>
              <w:rPr>
                <w:bCs/>
              </w:rPr>
              <w:t>3 333 eFt</w:t>
            </w:r>
          </w:p>
        </w:tc>
      </w:tr>
    </w:tbl>
    <w:p w:rsidR="00E900B4" w:rsidRPr="00BE2563" w:rsidRDefault="00E900B4" w:rsidP="00E900B4">
      <w:pPr>
        <w:spacing w:line="360" w:lineRule="auto"/>
        <w:jc w:val="both"/>
      </w:pPr>
    </w:p>
    <w:p w:rsidR="00845E77" w:rsidRDefault="00845E77"/>
    <w:sectPr w:rsidR="00845E77" w:rsidSect="00E900B4">
      <w:footerReference w:type="default" r:id="rId6"/>
      <w:pgSz w:w="11906" w:h="16838"/>
      <w:pgMar w:top="1417" w:right="1417" w:bottom="1417" w:left="1417"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C85" w:rsidRDefault="00A87C85" w:rsidP="00E900B4">
      <w:r>
        <w:separator/>
      </w:r>
    </w:p>
  </w:endnote>
  <w:endnote w:type="continuationSeparator" w:id="1">
    <w:p w:rsidR="00A87C85" w:rsidRDefault="00A87C85" w:rsidP="00E900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22704"/>
      <w:docPartObj>
        <w:docPartGallery w:val="Page Numbers (Bottom of Page)"/>
        <w:docPartUnique/>
      </w:docPartObj>
    </w:sdtPr>
    <w:sdtContent>
      <w:p w:rsidR="00E900B4" w:rsidRDefault="00E900B4">
        <w:pPr>
          <w:pStyle w:val="llb"/>
          <w:jc w:val="center"/>
        </w:pPr>
        <w:fldSimple w:instr=" PAGE   \* MERGEFORMAT ">
          <w:r>
            <w:rPr>
              <w:noProof/>
            </w:rPr>
            <w:t>2</w:t>
          </w:r>
        </w:fldSimple>
      </w:p>
    </w:sdtContent>
  </w:sdt>
  <w:p w:rsidR="00E900B4" w:rsidRDefault="00E900B4">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C85" w:rsidRDefault="00A87C85" w:rsidP="00E900B4">
      <w:r>
        <w:separator/>
      </w:r>
    </w:p>
  </w:footnote>
  <w:footnote w:type="continuationSeparator" w:id="1">
    <w:p w:rsidR="00A87C85" w:rsidRDefault="00A87C85" w:rsidP="00E900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E900B4"/>
    <w:rsid w:val="00124010"/>
    <w:rsid w:val="00845E77"/>
    <w:rsid w:val="00A87C85"/>
    <w:rsid w:val="00D14997"/>
    <w:rsid w:val="00E900B4"/>
    <w:rsid w:val="00EA0B37"/>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900B4"/>
    <w:pPr>
      <w:suppressAutoHyphens/>
      <w:spacing w:after="0" w:line="240" w:lineRule="auto"/>
    </w:pPr>
    <w:rPr>
      <w:rFonts w:ascii="Times New Roman" w:eastAsia="Times New Roman" w:hAnsi="Times New Roman" w:cs="Times New Roman"/>
      <w:sz w:val="24"/>
      <w:szCs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E900B4"/>
    <w:rPr>
      <w:rFonts w:ascii="Tahoma" w:hAnsi="Tahoma" w:cs="Tahoma"/>
      <w:sz w:val="16"/>
      <w:szCs w:val="16"/>
    </w:rPr>
  </w:style>
  <w:style w:type="character" w:customStyle="1" w:styleId="BuborkszvegChar">
    <w:name w:val="Buborékszöveg Char"/>
    <w:basedOn w:val="Bekezdsalapbettpusa"/>
    <w:link w:val="Buborkszveg"/>
    <w:uiPriority w:val="99"/>
    <w:semiHidden/>
    <w:rsid w:val="00E900B4"/>
    <w:rPr>
      <w:rFonts w:ascii="Tahoma" w:eastAsia="Times New Roman" w:hAnsi="Tahoma" w:cs="Tahoma"/>
      <w:sz w:val="16"/>
      <w:szCs w:val="16"/>
      <w:lang w:eastAsia="ar-SA"/>
    </w:rPr>
  </w:style>
  <w:style w:type="paragraph" w:styleId="lfej">
    <w:name w:val="header"/>
    <w:basedOn w:val="Norml"/>
    <w:link w:val="lfejChar"/>
    <w:uiPriority w:val="99"/>
    <w:semiHidden/>
    <w:unhideWhenUsed/>
    <w:rsid w:val="00E900B4"/>
    <w:pPr>
      <w:tabs>
        <w:tab w:val="center" w:pos="4536"/>
        <w:tab w:val="right" w:pos="9072"/>
      </w:tabs>
    </w:pPr>
  </w:style>
  <w:style w:type="character" w:customStyle="1" w:styleId="lfejChar">
    <w:name w:val="Élőfej Char"/>
    <w:basedOn w:val="Bekezdsalapbettpusa"/>
    <w:link w:val="lfej"/>
    <w:uiPriority w:val="99"/>
    <w:semiHidden/>
    <w:rsid w:val="00E900B4"/>
    <w:rPr>
      <w:rFonts w:ascii="Times New Roman" w:eastAsia="Times New Roman" w:hAnsi="Times New Roman" w:cs="Times New Roman"/>
      <w:sz w:val="24"/>
      <w:szCs w:val="24"/>
      <w:lang w:eastAsia="ar-SA"/>
    </w:rPr>
  </w:style>
  <w:style w:type="paragraph" w:styleId="llb">
    <w:name w:val="footer"/>
    <w:basedOn w:val="Norml"/>
    <w:link w:val="llbChar"/>
    <w:uiPriority w:val="99"/>
    <w:unhideWhenUsed/>
    <w:rsid w:val="00E900B4"/>
    <w:pPr>
      <w:tabs>
        <w:tab w:val="center" w:pos="4536"/>
        <w:tab w:val="right" w:pos="9072"/>
      </w:tabs>
    </w:pPr>
  </w:style>
  <w:style w:type="character" w:customStyle="1" w:styleId="llbChar">
    <w:name w:val="Élőláb Char"/>
    <w:basedOn w:val="Bekezdsalapbettpusa"/>
    <w:link w:val="llb"/>
    <w:uiPriority w:val="99"/>
    <w:rsid w:val="00E900B4"/>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6018</Words>
  <Characters>41531</Characters>
  <Application>Microsoft Office Word</Application>
  <DocSecurity>0</DocSecurity>
  <Lines>346</Lines>
  <Paragraphs>94</Paragraphs>
  <ScaleCrop>false</ScaleCrop>
  <Company/>
  <LinksUpToDate>false</LinksUpToDate>
  <CharactersWithSpaces>47455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penzugy05</dc:creator>
  <cp:keywords/>
  <dc:description/>
  <cp:lastModifiedBy>penzugy05</cp:lastModifiedBy>
  <cp:revision>1</cp:revision>
  <cp:lastPrinted>2008-11-07T10:52:00Z</cp:lastPrinted>
  <dcterms:created xsi:type="dcterms:W3CDTF">2008-11-07T10:44:00Z</dcterms:created>
  <dcterms:modified xsi:type="dcterms:W3CDTF">2008-11-07T10:53:00Z</dcterms:modified>
</cp:coreProperties>
</file>